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B726" w14:textId="7328C2D3" w:rsidR="006A41A6" w:rsidRPr="006A41A6" w:rsidRDefault="007D665F" w:rsidP="006A41A6">
      <w:pPr>
        <w:spacing w:after="0"/>
        <w:jc w:val="center"/>
        <w:rPr>
          <w:sz w:val="24"/>
          <w:szCs w:val="24"/>
        </w:rPr>
      </w:pPr>
      <w:r w:rsidRPr="006A41A6">
        <w:rPr>
          <w:sz w:val="24"/>
          <w:szCs w:val="24"/>
        </w:rPr>
        <w:t>FAKTOR- FAKTOR YANG MEMPENGARUHI PENERIMAAN OPINI AUDIT</w:t>
      </w:r>
    </w:p>
    <w:p w14:paraId="2AEF1295" w14:textId="5753FADC" w:rsidR="00A63115" w:rsidRPr="00D6763D" w:rsidRDefault="007D665F" w:rsidP="006A41A6">
      <w:pPr>
        <w:spacing w:after="0"/>
        <w:jc w:val="center"/>
        <w:rPr>
          <w:sz w:val="24"/>
          <w:szCs w:val="24"/>
        </w:rPr>
      </w:pPr>
      <w:r w:rsidRPr="006A41A6">
        <w:rPr>
          <w:sz w:val="24"/>
          <w:szCs w:val="24"/>
        </w:rPr>
        <w:t>GOING CONCERN (STUDI EMPIRIS PADA PERUSAHAAN SUB SEKTOR PERKEBUNAN YANG TERDAFTAR DI BURSA EFEK INDONESIA PERIODE 2016-2020)</w:t>
      </w:r>
    </w:p>
    <w:p w14:paraId="30A8ACE1" w14:textId="31C8E9FE" w:rsidR="00293E28" w:rsidRPr="00D6763D" w:rsidRDefault="006A41A6" w:rsidP="004F05D7">
      <w:pPr>
        <w:tabs>
          <w:tab w:val="left" w:pos="2268"/>
        </w:tabs>
        <w:spacing w:line="240" w:lineRule="auto"/>
        <w:jc w:val="center"/>
        <w:rPr>
          <w:b/>
          <w:szCs w:val="20"/>
          <w:vertAlign w:val="superscript"/>
        </w:rPr>
      </w:pPr>
      <w:r w:rsidRPr="006A41A6">
        <w:rPr>
          <w:rFonts w:eastAsia="Palatino Linotype"/>
          <w:b/>
          <w:bCs/>
          <w:sz w:val="24"/>
          <w:szCs w:val="24"/>
        </w:rPr>
        <w:t>Dani Pratama</w:t>
      </w:r>
      <w:r w:rsidRPr="00191023">
        <w:rPr>
          <w:b/>
          <w:noProof/>
          <w:szCs w:val="20"/>
          <w:vertAlign w:val="superscript"/>
        </w:rPr>
        <w:t xml:space="preserve"> </w:t>
      </w:r>
      <w:r w:rsidR="0070214C" w:rsidRPr="00191023">
        <w:rPr>
          <w:b/>
          <w:noProof/>
          <w:szCs w:val="20"/>
          <w:vertAlign w:val="superscript"/>
        </w:rPr>
        <mc:AlternateContent>
          <mc:Choice Requires="wps">
            <w:drawing>
              <wp:anchor distT="0" distB="0" distL="114300" distR="114300" simplePos="0" relativeHeight="251642368" behindDoc="0" locked="0" layoutInCell="1" allowOverlap="1" wp14:anchorId="6772C285" wp14:editId="389D550A">
                <wp:simplePos x="0" y="0"/>
                <wp:positionH relativeFrom="column">
                  <wp:posOffset>0</wp:posOffset>
                </wp:positionH>
                <wp:positionV relativeFrom="paragraph">
                  <wp:posOffset>215265</wp:posOffset>
                </wp:positionV>
                <wp:extent cx="5740400" cy="0"/>
                <wp:effectExtent l="13335" t="6350" r="8890" b="1270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B5330" id="_x0000_t32" coordsize="21600,21600" o:spt="32" o:oned="t" path="m,l21600,21600e" filled="f">
                <v:path arrowok="t" fillok="f" o:connecttype="none"/>
                <o:lock v:ext="edit" shapetype="t"/>
              </v:shapetype>
              <v:shape id="AutoShape 2" o:spid="_x0000_s1026" type="#_x0000_t32" style="position:absolute;margin-left:0;margin-top:16.95pt;width:452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" strokeweight="1pt"/>
            </w:pict>
          </mc:Fallback>
        </mc:AlternateContent>
      </w:r>
      <w:r w:rsidR="00191023" w:rsidRPr="00191023">
        <w:rPr>
          <w:b/>
          <w:szCs w:val="20"/>
          <w:vertAlign w:val="superscript"/>
        </w:rPr>
        <w:t>1</w:t>
      </w:r>
      <w:r w:rsidR="00191023">
        <w:rPr>
          <w:b/>
          <w:szCs w:val="20"/>
        </w:rPr>
        <w:t xml:space="preserve">, </w:t>
      </w:r>
      <w:r w:rsidRPr="006A41A6">
        <w:rPr>
          <w:b/>
          <w:szCs w:val="20"/>
        </w:rPr>
        <w:t xml:space="preserve">Dr. </w:t>
      </w:r>
      <w:proofErr w:type="gramStart"/>
      <w:r w:rsidRPr="006A41A6">
        <w:rPr>
          <w:b/>
          <w:szCs w:val="20"/>
        </w:rPr>
        <w:t>Zulhelmy,SE</w:t>
      </w:r>
      <w:proofErr w:type="gramEnd"/>
      <w:r w:rsidRPr="006A41A6">
        <w:rPr>
          <w:b/>
          <w:szCs w:val="20"/>
        </w:rPr>
        <w:t xml:space="preserve">, MSi, Ak., CA.,ACPA </w:t>
      </w:r>
      <w:r>
        <w:rPr>
          <w:b/>
          <w:szCs w:val="20"/>
          <w:vertAlign w:val="superscript"/>
        </w:rPr>
        <w:t>2</w:t>
      </w:r>
      <w:r w:rsidR="00191023">
        <w:rPr>
          <w:b/>
          <w:szCs w:val="20"/>
        </w:rPr>
        <w:t xml:space="preserve">, </w:t>
      </w:r>
      <w:r>
        <w:rPr>
          <w:rFonts w:eastAsia="Palatino Linotype"/>
          <w:sz w:val="24"/>
          <w:szCs w:val="24"/>
        </w:rPr>
        <w:t>Silvi Pratiwi</w:t>
      </w:r>
      <w:r>
        <w:rPr>
          <w:b/>
          <w:szCs w:val="20"/>
          <w:vertAlign w:val="superscript"/>
        </w:rPr>
        <w:t xml:space="preserve"> 3</w:t>
      </w:r>
    </w:p>
    <w:p w14:paraId="51FD09E8" w14:textId="77777777" w:rsidR="000B0E56" w:rsidRPr="00D6763D" w:rsidRDefault="000B0E56" w:rsidP="004F05D7">
      <w:pPr>
        <w:tabs>
          <w:tab w:val="left" w:pos="2268"/>
        </w:tabs>
        <w:rPr>
          <w:szCs w:val="20"/>
        </w:rPr>
        <w:sectPr w:rsidR="000B0E56" w:rsidRPr="00D6763D" w:rsidSect="00E13F01">
          <w:headerReference w:type="even" r:id="rId8"/>
          <w:headerReference w:type="default" r:id="rId9"/>
          <w:pgSz w:w="11906" w:h="16838" w:code="9"/>
          <w:pgMar w:top="1985" w:right="1134" w:bottom="1134" w:left="1701" w:header="283" w:footer="709" w:gutter="0"/>
          <w:pgNumType w:start="28"/>
          <w:cols w:space="720"/>
          <w:docGrid w:linePitch="360"/>
        </w:sectPr>
      </w:pPr>
    </w:p>
    <w:p w14:paraId="7371DEC6" w14:textId="6A5E3794" w:rsidR="00D73B33" w:rsidRPr="00D6763D" w:rsidRDefault="00CA2698" w:rsidP="004F05D7">
      <w:pPr>
        <w:tabs>
          <w:tab w:val="left" w:pos="2268"/>
        </w:tabs>
        <w:rPr>
          <w:szCs w:val="20"/>
        </w:rPr>
      </w:pPr>
      <w:r w:rsidRPr="00D6763D">
        <w:rPr>
          <w:noProof/>
          <w:szCs w:val="20"/>
        </w:rPr>
        <mc:AlternateContent>
          <mc:Choice Requires="wps">
            <w:drawing>
              <wp:anchor distT="0" distB="0" distL="114300" distR="114300" simplePos="0" relativeHeight="251644416" behindDoc="0" locked="0" layoutInCell="1" allowOverlap="1" wp14:anchorId="06D4299E" wp14:editId="65567EA2">
                <wp:simplePos x="0" y="0"/>
                <wp:positionH relativeFrom="column">
                  <wp:posOffset>1996440</wp:posOffset>
                </wp:positionH>
                <wp:positionV relativeFrom="paragraph">
                  <wp:posOffset>318770</wp:posOffset>
                </wp:positionV>
                <wp:extent cx="3743960" cy="1819275"/>
                <wp:effectExtent l="0" t="0" r="8890" b="9525"/>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1819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50F0CD" w14:textId="014E0F52" w:rsidR="006B7808" w:rsidRPr="00CA2698" w:rsidRDefault="006B7808" w:rsidP="00D6763D">
                            <w:pPr>
                              <w:pBdr>
                                <w:top w:val="single" w:sz="4" w:space="1" w:color="auto"/>
                              </w:pBdr>
                              <w:spacing w:after="0" w:line="240" w:lineRule="auto"/>
                              <w:ind w:left="-113" w:right="-113"/>
                              <w:jc w:val="both"/>
                              <w:rPr>
                                <w:sz w:val="8"/>
                                <w:szCs w:val="16"/>
                              </w:rPr>
                            </w:pPr>
                          </w:p>
                          <w:p w14:paraId="60EDAD4B" w14:textId="77777777" w:rsidR="00CA2698" w:rsidRPr="00CA2698" w:rsidRDefault="00CA2698" w:rsidP="00CA2698">
                            <w:pPr>
                              <w:spacing w:after="0" w:line="240" w:lineRule="auto"/>
                              <w:jc w:val="both"/>
                              <w:rPr>
                                <w:rFonts w:eastAsia="Palatino Linotype"/>
                                <w:bCs/>
                                <w:sz w:val="18"/>
                                <w:szCs w:val="18"/>
                              </w:rPr>
                            </w:pPr>
                            <w:r w:rsidRPr="00CA2698">
                              <w:rPr>
                                <w:rFonts w:eastAsia="Palatino Linotype"/>
                                <w:bCs/>
                                <w:sz w:val="18"/>
                                <w:szCs w:val="18"/>
                              </w:rPr>
                              <w:t>Tujuan penelitian ini adalah untuk mengetahui apakah ukuran perusahaan, debt default, kondisi keuangan, pertumbuhan perusahaan, dan Leverage (DAR) berpengaruh signifikan terhadap penerimaan opini audit going concern pada perusahaan sub sektor perkebunan yang terdaftar di BEI. Pemilihan sampel dilakukan dengan metode purposive sampling diperoleh jumlah sampel sebanyak 14 perusahaan dengan periode penelitian 2016-2020. Teknik analisa data yang digunakan adalah analisis regresi linier berganda dengan menggunakan bantuan Eviews 12. Hasil penelitian secara simultan diperoleh bahwa ukuran perusahaan, debt default dan Leverage (DAR) tidak berpengaruh signifikan terhadap penerimaan opini audit going concern sedangkan pertumbuhan perusahaan dan kondisi keuangan (ROA) berpegnaruh terhadap penerimaan opini Audit Going Concern.</w:t>
                            </w:r>
                          </w:p>
                          <w:p w14:paraId="15030435" w14:textId="77777777" w:rsidR="00B57DE8" w:rsidRPr="00CA2698" w:rsidRDefault="00B57DE8" w:rsidP="00D6763D">
                            <w:pPr>
                              <w:rPr>
                                <w:sz w:val="12"/>
                                <w:szCs w:val="10"/>
                              </w:rPr>
                            </w:pPr>
                          </w:p>
                          <w:p w14:paraId="49CC1BED" w14:textId="3658224C" w:rsidR="00D6763D" w:rsidRPr="00CA2698" w:rsidRDefault="00D6763D" w:rsidP="00D6763D">
                            <w:pPr>
                              <w:rPr>
                                <w:sz w:val="12"/>
                                <w:szCs w:val="10"/>
                              </w:rPr>
                            </w:pPr>
                          </w:p>
                          <w:p w14:paraId="6E289739" w14:textId="6EDCFD06" w:rsidR="00D6763D" w:rsidRPr="00CA2698" w:rsidRDefault="00D6763D" w:rsidP="00D6763D">
                            <w:pPr>
                              <w:rPr>
                                <w:sz w:val="12"/>
                                <w:szCs w:val="10"/>
                              </w:rPr>
                            </w:pPr>
                          </w:p>
                          <w:p w14:paraId="2EE3D348" w14:textId="4478227B" w:rsidR="00D6763D" w:rsidRPr="00CA2698" w:rsidRDefault="00D6763D" w:rsidP="00D6763D">
                            <w:pPr>
                              <w:rPr>
                                <w:sz w:val="12"/>
                                <w:szCs w:val="10"/>
                              </w:rPr>
                            </w:pPr>
                          </w:p>
                          <w:p w14:paraId="4FCFA645" w14:textId="6C2A79E2" w:rsidR="00D6763D" w:rsidRPr="00CA2698" w:rsidRDefault="00D6763D" w:rsidP="00D6763D">
                            <w:pPr>
                              <w:rPr>
                                <w:sz w:val="12"/>
                                <w:szCs w:val="10"/>
                              </w:rPr>
                            </w:pPr>
                          </w:p>
                          <w:p w14:paraId="390DAA53" w14:textId="77777777" w:rsidR="006141E5" w:rsidRPr="00CA2698" w:rsidRDefault="006141E5" w:rsidP="00D6763D">
                            <w:pPr>
                              <w:pBdr>
                                <w:top w:val="single" w:sz="4" w:space="1" w:color="auto"/>
                              </w:pBdr>
                              <w:spacing w:after="0" w:line="240" w:lineRule="auto"/>
                              <w:ind w:left="-113" w:right="-113"/>
                              <w:jc w:val="both"/>
                              <w:rPr>
                                <w:sz w:val="8"/>
                                <w:szCs w:val="16"/>
                              </w:rPr>
                            </w:pPr>
                          </w:p>
                          <w:p w14:paraId="5C4C0B8B" w14:textId="77777777" w:rsidR="006141E5" w:rsidRPr="00CA2698" w:rsidRDefault="006141E5" w:rsidP="00D6763D">
                            <w:pPr>
                              <w:pBdr>
                                <w:top w:val="single" w:sz="4" w:space="1" w:color="auto"/>
                              </w:pBdr>
                              <w:spacing w:after="0" w:line="240" w:lineRule="auto"/>
                              <w:ind w:left="-113" w:right="-113"/>
                              <w:jc w:val="both"/>
                              <w:rPr>
                                <w:sz w:val="8"/>
                                <w:szCs w:val="16"/>
                              </w:rPr>
                            </w:pPr>
                          </w:p>
                          <w:p w14:paraId="6C63AD2F" w14:textId="77777777" w:rsidR="006141E5" w:rsidRPr="00CA2698" w:rsidRDefault="006141E5" w:rsidP="00D6763D">
                            <w:pPr>
                              <w:pBdr>
                                <w:top w:val="single" w:sz="4" w:space="1" w:color="auto"/>
                              </w:pBdr>
                              <w:spacing w:after="0" w:line="240" w:lineRule="auto"/>
                              <w:ind w:left="-113" w:right="-113"/>
                              <w:jc w:val="both"/>
                              <w:rPr>
                                <w:sz w:val="8"/>
                                <w:szCs w:val="16"/>
                              </w:rPr>
                            </w:pPr>
                          </w:p>
                          <w:p w14:paraId="46F7CE2C" w14:textId="77777777" w:rsidR="006141E5" w:rsidRPr="00CA2698" w:rsidRDefault="006141E5" w:rsidP="00D6763D">
                            <w:pPr>
                              <w:pBdr>
                                <w:top w:val="single" w:sz="4" w:space="1" w:color="auto"/>
                              </w:pBdr>
                              <w:spacing w:after="0" w:line="240" w:lineRule="auto"/>
                              <w:ind w:left="-113" w:right="-113"/>
                              <w:jc w:val="both"/>
                              <w:rPr>
                                <w:sz w:val="8"/>
                                <w:szCs w:val="16"/>
                              </w:rPr>
                            </w:pPr>
                          </w:p>
                          <w:p w14:paraId="2BAD4F9E" w14:textId="77777777" w:rsidR="006141E5" w:rsidRPr="00CA2698" w:rsidRDefault="006141E5" w:rsidP="00D6763D">
                            <w:pPr>
                              <w:pBdr>
                                <w:top w:val="single" w:sz="4" w:space="1" w:color="auto"/>
                              </w:pBdr>
                              <w:spacing w:after="0" w:line="240" w:lineRule="auto"/>
                              <w:ind w:left="-113" w:right="-113"/>
                              <w:jc w:val="both"/>
                              <w:rPr>
                                <w:sz w:val="8"/>
                                <w:szCs w:val="16"/>
                              </w:rPr>
                            </w:pPr>
                          </w:p>
                          <w:p w14:paraId="32D42DE0" w14:textId="6070FADD" w:rsidR="006141E5" w:rsidRPr="00CA2698" w:rsidRDefault="006141E5" w:rsidP="00D6763D">
                            <w:pPr>
                              <w:pBdr>
                                <w:top w:val="single" w:sz="4" w:space="1" w:color="auto"/>
                              </w:pBdr>
                              <w:spacing w:after="0" w:line="240" w:lineRule="auto"/>
                              <w:ind w:left="-113" w:right="-113"/>
                              <w:jc w:val="both"/>
                              <w:rPr>
                                <w:sz w:val="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4299E" id="_x0000_t202" coordsize="21600,21600" o:spt="202" path="m,l,21600r21600,l21600,xe">
                <v:stroke joinstyle="miter"/>
                <v:path gradientshapeok="t" o:connecttype="rect"/>
              </v:shapetype>
              <v:shape id="Text Box 44" o:spid="_x0000_s1026" type="#_x0000_t202" style="position:absolute;margin-left:157.2pt;margin-top:25.1pt;width:294.8pt;height:14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" stroked="f" strokeweight=".5pt">
                <v:textbox>
                  <w:txbxContent>
                    <w:p w14:paraId="1050F0CD" w14:textId="014E0F52" w:rsidR="006B7808" w:rsidRPr="00CA2698" w:rsidRDefault="006B7808" w:rsidP="00D6763D">
                      <w:pPr>
                        <w:pBdr>
                          <w:top w:val="single" w:sz="4" w:space="1" w:color="auto"/>
                        </w:pBdr>
                        <w:spacing w:after="0" w:line="240" w:lineRule="auto"/>
                        <w:ind w:left="-113" w:right="-113"/>
                        <w:jc w:val="both"/>
                        <w:rPr>
                          <w:sz w:val="8"/>
                          <w:szCs w:val="16"/>
                        </w:rPr>
                      </w:pPr>
                    </w:p>
                    <w:p w14:paraId="60EDAD4B" w14:textId="77777777" w:rsidR="00CA2698" w:rsidRPr="00CA2698" w:rsidRDefault="00CA2698" w:rsidP="00CA2698">
                      <w:pPr>
                        <w:spacing w:after="0" w:line="240" w:lineRule="auto"/>
                        <w:jc w:val="both"/>
                        <w:rPr>
                          <w:rFonts w:eastAsia="Palatino Linotype"/>
                          <w:bCs/>
                          <w:sz w:val="18"/>
                          <w:szCs w:val="18"/>
                        </w:rPr>
                      </w:pPr>
                      <w:r w:rsidRPr="00CA2698">
                        <w:rPr>
                          <w:rFonts w:eastAsia="Palatino Linotype"/>
                          <w:bCs/>
                          <w:sz w:val="18"/>
                          <w:szCs w:val="18"/>
                        </w:rPr>
                        <w:t>Tujuan penelitian ini adalah untuk mengetahui apakah ukuran perusahaan, debt default, kondisi keuangan, pertumbuhan perusahaan, dan Leverage (DAR) berpengaruh signifikan terhadap penerimaan opini audit going concern pada perusahaan sub sektor perkebunan yang terdaftar di BEI. Pemilihan sampel dilakukan dengan metode purposive sampling diperoleh jumlah sampel sebanyak 14 perusahaan dengan periode penelitian 2016-2020. Teknik analisa data yang digunakan adalah analisis regresi linier berganda dengan menggunakan bantuan Eviews 12. Hasil penelitian secara simultan diperoleh bahwa ukuran perusahaan, debt default dan Leverage (DAR) tidak berpengaruh signifikan terhadap penerimaan opini audit going concern sedangkan pertumbuhan perusahaan dan kondisi keuangan (ROA) berpegnaruh terhadap penerimaan opini Audit Going Concern.</w:t>
                      </w:r>
                    </w:p>
                    <w:p w14:paraId="15030435" w14:textId="77777777" w:rsidR="00B57DE8" w:rsidRPr="00CA2698" w:rsidRDefault="00B57DE8" w:rsidP="00D6763D">
                      <w:pPr>
                        <w:rPr>
                          <w:sz w:val="12"/>
                          <w:szCs w:val="10"/>
                        </w:rPr>
                      </w:pPr>
                    </w:p>
                    <w:p w14:paraId="49CC1BED" w14:textId="3658224C" w:rsidR="00D6763D" w:rsidRPr="00CA2698" w:rsidRDefault="00D6763D" w:rsidP="00D6763D">
                      <w:pPr>
                        <w:rPr>
                          <w:sz w:val="12"/>
                          <w:szCs w:val="10"/>
                        </w:rPr>
                      </w:pPr>
                    </w:p>
                    <w:p w14:paraId="6E289739" w14:textId="6EDCFD06" w:rsidR="00D6763D" w:rsidRPr="00CA2698" w:rsidRDefault="00D6763D" w:rsidP="00D6763D">
                      <w:pPr>
                        <w:rPr>
                          <w:sz w:val="12"/>
                          <w:szCs w:val="10"/>
                        </w:rPr>
                      </w:pPr>
                    </w:p>
                    <w:p w14:paraId="2EE3D348" w14:textId="4478227B" w:rsidR="00D6763D" w:rsidRPr="00CA2698" w:rsidRDefault="00D6763D" w:rsidP="00D6763D">
                      <w:pPr>
                        <w:rPr>
                          <w:sz w:val="12"/>
                          <w:szCs w:val="10"/>
                        </w:rPr>
                      </w:pPr>
                    </w:p>
                    <w:p w14:paraId="4FCFA645" w14:textId="6C2A79E2" w:rsidR="00D6763D" w:rsidRPr="00CA2698" w:rsidRDefault="00D6763D" w:rsidP="00D6763D">
                      <w:pPr>
                        <w:rPr>
                          <w:sz w:val="12"/>
                          <w:szCs w:val="10"/>
                        </w:rPr>
                      </w:pPr>
                    </w:p>
                    <w:p w14:paraId="390DAA53" w14:textId="77777777" w:rsidR="006141E5" w:rsidRPr="00CA2698" w:rsidRDefault="006141E5" w:rsidP="00D6763D">
                      <w:pPr>
                        <w:pBdr>
                          <w:top w:val="single" w:sz="4" w:space="1" w:color="auto"/>
                        </w:pBdr>
                        <w:spacing w:after="0" w:line="240" w:lineRule="auto"/>
                        <w:ind w:left="-113" w:right="-113"/>
                        <w:jc w:val="both"/>
                        <w:rPr>
                          <w:sz w:val="8"/>
                          <w:szCs w:val="16"/>
                        </w:rPr>
                      </w:pPr>
                    </w:p>
                    <w:p w14:paraId="5C4C0B8B" w14:textId="77777777" w:rsidR="006141E5" w:rsidRPr="00CA2698" w:rsidRDefault="006141E5" w:rsidP="00D6763D">
                      <w:pPr>
                        <w:pBdr>
                          <w:top w:val="single" w:sz="4" w:space="1" w:color="auto"/>
                        </w:pBdr>
                        <w:spacing w:after="0" w:line="240" w:lineRule="auto"/>
                        <w:ind w:left="-113" w:right="-113"/>
                        <w:jc w:val="both"/>
                        <w:rPr>
                          <w:sz w:val="8"/>
                          <w:szCs w:val="16"/>
                        </w:rPr>
                      </w:pPr>
                    </w:p>
                    <w:p w14:paraId="6C63AD2F" w14:textId="77777777" w:rsidR="006141E5" w:rsidRPr="00CA2698" w:rsidRDefault="006141E5" w:rsidP="00D6763D">
                      <w:pPr>
                        <w:pBdr>
                          <w:top w:val="single" w:sz="4" w:space="1" w:color="auto"/>
                        </w:pBdr>
                        <w:spacing w:after="0" w:line="240" w:lineRule="auto"/>
                        <w:ind w:left="-113" w:right="-113"/>
                        <w:jc w:val="both"/>
                        <w:rPr>
                          <w:sz w:val="8"/>
                          <w:szCs w:val="16"/>
                        </w:rPr>
                      </w:pPr>
                    </w:p>
                    <w:p w14:paraId="46F7CE2C" w14:textId="77777777" w:rsidR="006141E5" w:rsidRPr="00CA2698" w:rsidRDefault="006141E5" w:rsidP="00D6763D">
                      <w:pPr>
                        <w:pBdr>
                          <w:top w:val="single" w:sz="4" w:space="1" w:color="auto"/>
                        </w:pBdr>
                        <w:spacing w:after="0" w:line="240" w:lineRule="auto"/>
                        <w:ind w:left="-113" w:right="-113"/>
                        <w:jc w:val="both"/>
                        <w:rPr>
                          <w:sz w:val="8"/>
                          <w:szCs w:val="16"/>
                        </w:rPr>
                      </w:pPr>
                    </w:p>
                    <w:p w14:paraId="2BAD4F9E" w14:textId="77777777" w:rsidR="006141E5" w:rsidRPr="00CA2698" w:rsidRDefault="006141E5" w:rsidP="00D6763D">
                      <w:pPr>
                        <w:pBdr>
                          <w:top w:val="single" w:sz="4" w:space="1" w:color="auto"/>
                        </w:pBdr>
                        <w:spacing w:after="0" w:line="240" w:lineRule="auto"/>
                        <w:ind w:left="-113" w:right="-113"/>
                        <w:jc w:val="both"/>
                        <w:rPr>
                          <w:sz w:val="8"/>
                          <w:szCs w:val="16"/>
                        </w:rPr>
                      </w:pPr>
                    </w:p>
                    <w:p w14:paraId="32D42DE0" w14:textId="6070FADD" w:rsidR="006141E5" w:rsidRPr="00CA2698" w:rsidRDefault="006141E5" w:rsidP="00D6763D">
                      <w:pPr>
                        <w:pBdr>
                          <w:top w:val="single" w:sz="4" w:space="1" w:color="auto"/>
                        </w:pBdr>
                        <w:spacing w:after="0" w:line="240" w:lineRule="auto"/>
                        <w:ind w:left="-113" w:right="-113"/>
                        <w:jc w:val="both"/>
                        <w:rPr>
                          <w:sz w:val="8"/>
                          <w:szCs w:val="16"/>
                        </w:rPr>
                      </w:pPr>
                    </w:p>
                  </w:txbxContent>
                </v:textbox>
              </v:shape>
            </w:pict>
          </mc:Fallback>
        </mc:AlternateContent>
      </w:r>
      <w:r w:rsidR="00B57DE8" w:rsidRPr="00D6763D">
        <w:rPr>
          <w:noProof/>
          <w:szCs w:val="20"/>
        </w:rPr>
        <mc:AlternateContent>
          <mc:Choice Requires="wps">
            <w:drawing>
              <wp:anchor distT="0" distB="0" distL="114300" distR="114300" simplePos="0" relativeHeight="251645440" behindDoc="0" locked="0" layoutInCell="1" allowOverlap="1" wp14:anchorId="27617089" wp14:editId="7D1F7135">
                <wp:simplePos x="0" y="0"/>
                <wp:positionH relativeFrom="column">
                  <wp:posOffset>-3810</wp:posOffset>
                </wp:positionH>
                <wp:positionV relativeFrom="paragraph">
                  <wp:posOffset>347980</wp:posOffset>
                </wp:positionV>
                <wp:extent cx="1907540" cy="1304925"/>
                <wp:effectExtent l="0" t="0" r="0" b="9525"/>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13049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960FCE" w14:textId="77777777" w:rsidR="006B7808" w:rsidRDefault="006B7808" w:rsidP="00D73B33">
                            <w:pPr>
                              <w:spacing w:after="0" w:line="240" w:lineRule="auto"/>
                              <w:ind w:left="-113" w:right="-113"/>
                              <w:rPr>
                                <w:b/>
                              </w:rPr>
                            </w:pPr>
                            <w:r>
                              <w:rPr>
                                <w:b/>
                              </w:rPr>
                              <w:t>Penulis:</w:t>
                            </w:r>
                          </w:p>
                          <w:p w14:paraId="18D84496" w14:textId="48737569" w:rsidR="005870C3" w:rsidRDefault="00191023" w:rsidP="00191023">
                            <w:pPr>
                              <w:spacing w:after="0" w:line="240" w:lineRule="auto"/>
                              <w:ind w:left="-56" w:right="-113" w:hanging="57"/>
                            </w:pPr>
                            <w:r>
                              <w:t>Universitas Islam Riau</w:t>
                            </w:r>
                            <w:r w:rsidR="005870C3" w:rsidRPr="00191023">
                              <w:rPr>
                                <w:vertAlign w:val="superscript"/>
                              </w:rPr>
                              <w:t>1</w:t>
                            </w:r>
                            <w:r>
                              <w:t xml:space="preserve">, </w:t>
                            </w:r>
                          </w:p>
                          <w:p w14:paraId="2E83F98A" w14:textId="33EF6352" w:rsidR="00191023" w:rsidRDefault="00191023" w:rsidP="00191023">
                            <w:pPr>
                              <w:spacing w:after="0" w:line="240" w:lineRule="auto"/>
                              <w:ind w:left="-56" w:right="-113" w:hanging="57"/>
                            </w:pPr>
                            <w:r>
                              <w:t>Pekanbaru, Indonesia</w:t>
                            </w:r>
                          </w:p>
                          <w:p w14:paraId="788311F9" w14:textId="6EF7742E" w:rsidR="00CA2698" w:rsidRDefault="00191023" w:rsidP="00191023">
                            <w:pPr>
                              <w:spacing w:after="0" w:line="240" w:lineRule="auto"/>
                              <w:ind w:left="-56" w:right="-113" w:hanging="57"/>
                              <w:rPr>
                                <w:color w:val="000000"/>
                              </w:rPr>
                            </w:pPr>
                            <w:r w:rsidRPr="003360E8">
                              <w:rPr>
                                <w:b/>
                                <w:sz w:val="24"/>
                                <w:vertAlign w:val="superscript"/>
                              </w:rPr>
                              <w:t>*</w:t>
                            </w:r>
                            <w:r w:rsidRPr="00326A7F">
                              <w:rPr>
                                <w:i/>
                              </w:rPr>
                              <w:t>E-mail</w:t>
                            </w:r>
                            <w:r w:rsidRPr="00326A7F">
                              <w:rPr>
                                <w:color w:val="000000"/>
                              </w:rPr>
                              <w:t>:</w:t>
                            </w:r>
                            <w:r w:rsidRPr="00AF59FF">
                              <w:rPr>
                                <w:color w:val="000000"/>
                              </w:rPr>
                              <w:t xml:space="preserve"> </w:t>
                            </w:r>
                            <w:hyperlink r:id="rId10" w:history="1">
                              <w:r w:rsidR="00CA2698" w:rsidRPr="00575758">
                                <w:rPr>
                                  <w:rStyle w:val="Hyperlink"/>
                                </w:rPr>
                                <w:t>danipratama@eco.uir.ac.id</w:t>
                              </w:r>
                            </w:hyperlink>
                          </w:p>
                          <w:p w14:paraId="50CE0683" w14:textId="6825703A" w:rsidR="005870C3" w:rsidRDefault="00BD638E" w:rsidP="00191023">
                            <w:pPr>
                              <w:spacing w:after="0" w:line="240" w:lineRule="auto"/>
                              <w:ind w:left="567" w:right="-113"/>
                            </w:pPr>
                            <w:hyperlink r:id="rId11" w:history="1">
                              <w:r w:rsidR="005870C3" w:rsidRPr="00575758">
                                <w:rPr>
                                  <w:rStyle w:val="Hyperlink"/>
                                </w:rPr>
                                <w:t>zulhelmy@eco.uir.ac.id</w:t>
                              </w:r>
                            </w:hyperlink>
                          </w:p>
                          <w:p w14:paraId="3B33BA5A" w14:textId="3780091D" w:rsidR="00191023" w:rsidRPr="005870C3" w:rsidRDefault="00BD638E" w:rsidP="005870C3">
                            <w:pPr>
                              <w:spacing w:after="0" w:line="240" w:lineRule="auto"/>
                              <w:ind w:left="567" w:right="-113"/>
                              <w:rPr>
                                <w:sz w:val="18"/>
                                <w:szCs w:val="20"/>
                              </w:rPr>
                            </w:pPr>
                            <w:hyperlink r:id="rId12" w:history="1">
                              <w:r w:rsidR="005870C3" w:rsidRPr="005870C3">
                                <w:rPr>
                                  <w:rStyle w:val="Hyperlink"/>
                                  <w:sz w:val="18"/>
                                  <w:szCs w:val="20"/>
                                </w:rPr>
                                <w:t>silvipratiwimail@gmail.com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17089" id="Text Box 46" o:spid="_x0000_s1027" type="#_x0000_t202" style="position:absolute;margin-left:-.3pt;margin-top:27.4pt;width:150.2pt;height:10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" stroked="f" strokeweight=".5pt">
                <v:textbox>
                  <w:txbxContent>
                    <w:p w14:paraId="7E960FCE" w14:textId="77777777" w:rsidR="006B7808" w:rsidRDefault="006B7808" w:rsidP="00D73B33">
                      <w:pPr>
                        <w:spacing w:after="0" w:line="240" w:lineRule="auto"/>
                        <w:ind w:left="-113" w:right="-113"/>
                        <w:rPr>
                          <w:b/>
                        </w:rPr>
                      </w:pPr>
                      <w:r>
                        <w:rPr>
                          <w:b/>
                        </w:rPr>
                        <w:t>Penulis:</w:t>
                      </w:r>
                    </w:p>
                    <w:p w14:paraId="18D84496" w14:textId="48737569" w:rsidR="005870C3" w:rsidRDefault="00191023" w:rsidP="00191023">
                      <w:pPr>
                        <w:spacing w:after="0" w:line="240" w:lineRule="auto"/>
                        <w:ind w:left="-56" w:right="-113" w:hanging="57"/>
                      </w:pPr>
                      <w:r>
                        <w:t>Universitas Islam Riau</w:t>
                      </w:r>
                      <w:r w:rsidR="005870C3" w:rsidRPr="00191023">
                        <w:rPr>
                          <w:vertAlign w:val="superscript"/>
                        </w:rPr>
                        <w:t>1</w:t>
                      </w:r>
                      <w:r>
                        <w:t xml:space="preserve">, </w:t>
                      </w:r>
                    </w:p>
                    <w:p w14:paraId="2E83F98A" w14:textId="33EF6352" w:rsidR="00191023" w:rsidRDefault="00191023" w:rsidP="00191023">
                      <w:pPr>
                        <w:spacing w:after="0" w:line="240" w:lineRule="auto"/>
                        <w:ind w:left="-56" w:right="-113" w:hanging="57"/>
                      </w:pPr>
                      <w:r>
                        <w:t>Pekanbaru, Indonesia</w:t>
                      </w:r>
                    </w:p>
                    <w:p w14:paraId="788311F9" w14:textId="6EF7742E" w:rsidR="00CA2698" w:rsidRDefault="00191023" w:rsidP="00191023">
                      <w:pPr>
                        <w:spacing w:after="0" w:line="240" w:lineRule="auto"/>
                        <w:ind w:left="-56" w:right="-113" w:hanging="57"/>
                        <w:rPr>
                          <w:color w:val="000000"/>
                        </w:rPr>
                      </w:pPr>
                      <w:r w:rsidRPr="003360E8">
                        <w:rPr>
                          <w:b/>
                          <w:sz w:val="24"/>
                          <w:vertAlign w:val="superscript"/>
                        </w:rPr>
                        <w:t>*</w:t>
                      </w:r>
                      <w:r w:rsidRPr="00326A7F">
                        <w:rPr>
                          <w:i/>
                        </w:rPr>
                        <w:t>E-mail</w:t>
                      </w:r>
                      <w:r w:rsidRPr="00326A7F">
                        <w:rPr>
                          <w:color w:val="000000"/>
                        </w:rPr>
                        <w:t>:</w:t>
                      </w:r>
                      <w:r w:rsidRPr="00AF59FF">
                        <w:rPr>
                          <w:color w:val="000000"/>
                        </w:rPr>
                        <w:t xml:space="preserve"> </w:t>
                      </w:r>
                      <w:hyperlink r:id="rId13" w:history="1">
                        <w:r w:rsidR="00CA2698" w:rsidRPr="00575758">
                          <w:rPr>
                            <w:rStyle w:val="Hyperlink"/>
                          </w:rPr>
                          <w:t>danipratama@eco.uir.ac.id</w:t>
                        </w:r>
                      </w:hyperlink>
                    </w:p>
                    <w:p w14:paraId="50CE0683" w14:textId="6825703A" w:rsidR="005870C3" w:rsidRDefault="00BD638E" w:rsidP="00191023">
                      <w:pPr>
                        <w:spacing w:after="0" w:line="240" w:lineRule="auto"/>
                        <w:ind w:left="567" w:right="-113"/>
                      </w:pPr>
                      <w:hyperlink r:id="rId14" w:history="1">
                        <w:r w:rsidR="005870C3" w:rsidRPr="00575758">
                          <w:rPr>
                            <w:rStyle w:val="Hyperlink"/>
                          </w:rPr>
                          <w:t>zulhelmy@eco.uir.ac.id</w:t>
                        </w:r>
                      </w:hyperlink>
                    </w:p>
                    <w:p w14:paraId="3B33BA5A" w14:textId="3780091D" w:rsidR="00191023" w:rsidRPr="005870C3" w:rsidRDefault="00BD638E" w:rsidP="005870C3">
                      <w:pPr>
                        <w:spacing w:after="0" w:line="240" w:lineRule="auto"/>
                        <w:ind w:left="567" w:right="-113"/>
                        <w:rPr>
                          <w:sz w:val="18"/>
                          <w:szCs w:val="20"/>
                        </w:rPr>
                      </w:pPr>
                      <w:hyperlink r:id="rId15" w:history="1">
                        <w:r w:rsidR="005870C3" w:rsidRPr="005870C3">
                          <w:rPr>
                            <w:rStyle w:val="Hyperlink"/>
                            <w:sz w:val="18"/>
                            <w:szCs w:val="20"/>
                          </w:rPr>
                          <w:t>silvipratiwimail@gmail.com</w:t>
                        </w:r>
                      </w:hyperlink>
                    </w:p>
                  </w:txbxContent>
                </v:textbox>
              </v:shape>
            </w:pict>
          </mc:Fallback>
        </mc:AlternateContent>
      </w:r>
      <w:r w:rsidR="0070214C" w:rsidRPr="00D6763D">
        <w:rPr>
          <w:noProof/>
          <w:szCs w:val="20"/>
        </w:rPr>
        <mc:AlternateContent>
          <mc:Choice Requires="wps">
            <w:drawing>
              <wp:anchor distT="0" distB="0" distL="114300" distR="114300" simplePos="0" relativeHeight="251648512" behindDoc="0" locked="0" layoutInCell="1" allowOverlap="1" wp14:anchorId="53F59533" wp14:editId="0F69A4D7">
                <wp:simplePos x="0" y="0"/>
                <wp:positionH relativeFrom="column">
                  <wp:posOffset>9525</wp:posOffset>
                </wp:positionH>
                <wp:positionV relativeFrom="paragraph">
                  <wp:posOffset>64135</wp:posOffset>
                </wp:positionV>
                <wp:extent cx="1800225" cy="252095"/>
                <wp:effectExtent l="3810" t="0" r="0" b="0"/>
                <wp:wrapNone/>
                <wp:docPr id="2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5D89D" w14:textId="77777777" w:rsidR="006B7808" w:rsidRPr="00E214D8" w:rsidRDefault="006B7808" w:rsidP="00E87604">
                            <w:pPr>
                              <w:spacing w:after="0" w:line="240" w:lineRule="auto"/>
                              <w:ind w:left="-113" w:right="-113"/>
                              <w:rPr>
                                <w:rStyle w:val="BookTitle"/>
                              </w:rPr>
                            </w:pPr>
                            <w:r>
                              <w:rPr>
                                <w:rStyle w:val="BookTitle"/>
                              </w:rPr>
                              <w:t>Info Artikel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59533" id="Text Box 94" o:spid="_x0000_s1028" type="#_x0000_t202" style="position:absolute;margin-left:.75pt;margin-top:5.05pt;width:141.75pt;height:1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" stroked="f">
                <v:textbox>
                  <w:txbxContent>
                    <w:p w14:paraId="0975D89D" w14:textId="77777777" w:rsidR="006B7808" w:rsidRPr="00E214D8" w:rsidRDefault="006B7808" w:rsidP="00E87604">
                      <w:pPr>
                        <w:spacing w:after="0" w:line="240" w:lineRule="auto"/>
                        <w:ind w:left="-113" w:right="-113"/>
                        <w:rPr>
                          <w:rStyle w:val="BookTitle"/>
                        </w:rPr>
                      </w:pPr>
                      <w:r>
                        <w:rPr>
                          <w:rStyle w:val="BookTitle"/>
                        </w:rPr>
                        <w:t>Info Artikel</w:t>
                      </w:r>
                    </w:p>
                  </w:txbxContent>
                </v:textbox>
              </v:shape>
            </w:pict>
          </mc:Fallback>
        </mc:AlternateContent>
      </w:r>
      <w:r w:rsidR="0070214C" w:rsidRPr="00D6763D">
        <w:rPr>
          <w:noProof/>
          <w:szCs w:val="20"/>
        </w:rPr>
        <mc:AlternateContent>
          <mc:Choice Requires="wps">
            <w:drawing>
              <wp:anchor distT="0" distB="0" distL="114300" distR="114300" simplePos="0" relativeHeight="251647488" behindDoc="0" locked="0" layoutInCell="1" allowOverlap="1" wp14:anchorId="62E58161" wp14:editId="19A145B3">
                <wp:simplePos x="0" y="0"/>
                <wp:positionH relativeFrom="column">
                  <wp:posOffset>-13970</wp:posOffset>
                </wp:positionH>
                <wp:positionV relativeFrom="paragraph">
                  <wp:posOffset>344170</wp:posOffset>
                </wp:positionV>
                <wp:extent cx="1890000" cy="635"/>
                <wp:effectExtent l="0" t="0" r="34290" b="3746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00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1378A" id="AutoShape 52" o:spid="_x0000_s1026" type="#_x0000_t32" style="position:absolute;margin-left:-1.1pt;margin-top:27.1pt;width:148.8pt;height:.0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" strokeweight="1pt"/>
            </w:pict>
          </mc:Fallback>
        </mc:AlternateContent>
      </w:r>
      <w:r w:rsidR="0070214C" w:rsidRPr="00D6763D">
        <w:rPr>
          <w:noProof/>
          <w:szCs w:val="20"/>
        </w:rPr>
        <mc:AlternateContent>
          <mc:Choice Requires="wps">
            <w:drawing>
              <wp:anchor distT="0" distB="0" distL="114300" distR="114300" simplePos="0" relativeHeight="251643392" behindDoc="0" locked="0" layoutInCell="1" allowOverlap="1" wp14:anchorId="5AFBA73D" wp14:editId="034BA661">
                <wp:simplePos x="0" y="0"/>
                <wp:positionH relativeFrom="column">
                  <wp:posOffset>2009140</wp:posOffset>
                </wp:positionH>
                <wp:positionV relativeFrom="paragraph">
                  <wp:posOffset>56515</wp:posOffset>
                </wp:positionV>
                <wp:extent cx="3745230" cy="252095"/>
                <wp:effectExtent l="3175" t="0" r="4445" b="0"/>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C9783" w14:textId="77777777" w:rsidR="006B7808" w:rsidRPr="00E214D8" w:rsidRDefault="006B7808" w:rsidP="00D73B33">
                            <w:pPr>
                              <w:spacing w:after="0" w:line="240" w:lineRule="auto"/>
                              <w:ind w:left="-113" w:right="-113"/>
                              <w:rPr>
                                <w:rStyle w:val="BookTitle"/>
                              </w:rPr>
                            </w:pPr>
                            <w:r>
                              <w:rPr>
                                <w:rStyle w:val="BookTitle"/>
                              </w:rPr>
                              <w:t>Abstrak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A73D" id="Text Box 43" o:spid="_x0000_s1029" type="#_x0000_t202" style="position:absolute;margin-left:158.2pt;margin-top:4.45pt;width:294.9pt;height:19.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" stroked="f">
                <v:textbox>
                  <w:txbxContent>
                    <w:p w14:paraId="6B9C9783" w14:textId="77777777" w:rsidR="006B7808" w:rsidRPr="00E214D8" w:rsidRDefault="006B7808" w:rsidP="00D73B33">
                      <w:pPr>
                        <w:spacing w:after="0" w:line="240" w:lineRule="auto"/>
                        <w:ind w:left="-113" w:right="-113"/>
                        <w:rPr>
                          <w:rStyle w:val="BookTitle"/>
                        </w:rPr>
                      </w:pPr>
                      <w:r>
                        <w:rPr>
                          <w:rStyle w:val="BookTitle"/>
                        </w:rPr>
                        <w:t>Abstrak</w:t>
                      </w:r>
                    </w:p>
                  </w:txbxContent>
                </v:textbox>
              </v:shape>
            </w:pict>
          </mc:Fallback>
        </mc:AlternateContent>
      </w:r>
      <w:r w:rsidR="000B0E56" w:rsidRPr="00D6763D">
        <w:rPr>
          <w:szCs w:val="20"/>
        </w:rPr>
        <w:br w:type="textWrapping" w:clear="all"/>
      </w:r>
    </w:p>
    <w:p w14:paraId="727C356F" w14:textId="6C78D70A" w:rsidR="00D73B33" w:rsidRPr="00D6763D" w:rsidRDefault="00D73B33" w:rsidP="004F05D7">
      <w:pPr>
        <w:tabs>
          <w:tab w:val="left" w:pos="2268"/>
        </w:tabs>
        <w:rPr>
          <w:szCs w:val="20"/>
        </w:rPr>
      </w:pPr>
    </w:p>
    <w:p w14:paraId="221AC58F" w14:textId="77777777" w:rsidR="00D73B33" w:rsidRPr="00D6763D" w:rsidRDefault="00D73B33" w:rsidP="004F05D7">
      <w:pPr>
        <w:tabs>
          <w:tab w:val="left" w:pos="2268"/>
        </w:tabs>
        <w:rPr>
          <w:szCs w:val="20"/>
        </w:rPr>
      </w:pPr>
    </w:p>
    <w:p w14:paraId="7819B784" w14:textId="33FA84A9" w:rsidR="00D73B33" w:rsidRPr="00D6763D" w:rsidRDefault="00D73B33" w:rsidP="004F05D7">
      <w:pPr>
        <w:tabs>
          <w:tab w:val="left" w:pos="2268"/>
        </w:tabs>
        <w:rPr>
          <w:szCs w:val="20"/>
        </w:rPr>
      </w:pPr>
    </w:p>
    <w:p w14:paraId="0DA2487B" w14:textId="5BD8C280" w:rsidR="00D73B33" w:rsidRPr="00D6763D" w:rsidRDefault="00D73B33" w:rsidP="004F05D7">
      <w:pPr>
        <w:tabs>
          <w:tab w:val="left" w:pos="2268"/>
        </w:tabs>
        <w:rPr>
          <w:szCs w:val="20"/>
        </w:rPr>
      </w:pPr>
    </w:p>
    <w:p w14:paraId="25C33E2C" w14:textId="1DFF95EA" w:rsidR="00D73B33" w:rsidRPr="00D6763D" w:rsidRDefault="00FB61AD" w:rsidP="004F05D7">
      <w:pPr>
        <w:tabs>
          <w:tab w:val="left" w:pos="2268"/>
        </w:tabs>
        <w:rPr>
          <w:szCs w:val="20"/>
        </w:rPr>
      </w:pPr>
      <w:r w:rsidRPr="00D6763D">
        <w:rPr>
          <w:noProof/>
          <w:szCs w:val="20"/>
        </w:rPr>
        <mc:AlternateContent>
          <mc:Choice Requires="wps">
            <w:drawing>
              <wp:anchor distT="0" distB="0" distL="114300" distR="114300" simplePos="0" relativeHeight="251654656" behindDoc="0" locked="0" layoutInCell="1" allowOverlap="1" wp14:anchorId="232F5F87" wp14:editId="7DB446E7">
                <wp:simplePos x="0" y="0"/>
                <wp:positionH relativeFrom="column">
                  <wp:posOffset>-13970</wp:posOffset>
                </wp:positionH>
                <wp:positionV relativeFrom="paragraph">
                  <wp:posOffset>225425</wp:posOffset>
                </wp:positionV>
                <wp:extent cx="1889760" cy="0"/>
                <wp:effectExtent l="0" t="0" r="0" b="0"/>
                <wp:wrapNone/>
                <wp:docPr id="1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4080F" id="AutoShape 54" o:spid="_x0000_s1026" type="#_x0000_t32" style="position:absolute;margin-left:-1.1pt;margin-top:17.75pt;width:148.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"/>
            </w:pict>
          </mc:Fallback>
        </mc:AlternateContent>
      </w:r>
      <w:r w:rsidRPr="00D6763D">
        <w:rPr>
          <w:noProof/>
          <w:szCs w:val="20"/>
        </w:rPr>
        <mc:AlternateContent>
          <mc:Choice Requires="wps">
            <w:drawing>
              <wp:anchor distT="0" distB="0" distL="114300" distR="114300" simplePos="0" relativeHeight="251652608" behindDoc="0" locked="0" layoutInCell="1" allowOverlap="1" wp14:anchorId="55FEB31F" wp14:editId="272A9995">
                <wp:simplePos x="0" y="0"/>
                <wp:positionH relativeFrom="column">
                  <wp:posOffset>0</wp:posOffset>
                </wp:positionH>
                <wp:positionV relativeFrom="paragraph">
                  <wp:posOffset>222250</wp:posOffset>
                </wp:positionV>
                <wp:extent cx="1865630" cy="719455"/>
                <wp:effectExtent l="0" t="0" r="1270" b="4445"/>
                <wp:wrapNone/>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7194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B391FC" w14:textId="0F21F721" w:rsidR="006B7808" w:rsidRDefault="006B7808" w:rsidP="00D73B33">
                            <w:pPr>
                              <w:spacing w:after="0" w:line="240" w:lineRule="auto"/>
                              <w:ind w:left="-56" w:right="-113" w:hanging="57"/>
                              <w:rPr>
                                <w:b/>
                              </w:rPr>
                            </w:pPr>
                            <w:r>
                              <w:rPr>
                                <w:b/>
                              </w:rPr>
                              <w:t>Akses online:</w:t>
                            </w:r>
                          </w:p>
                          <w:p w14:paraId="251258AC" w14:textId="7E3FF599" w:rsidR="00DE6A76" w:rsidRDefault="00DE6A76" w:rsidP="00D73B33">
                            <w:pPr>
                              <w:spacing w:after="0" w:line="240" w:lineRule="auto"/>
                              <w:ind w:left="-56" w:right="-113" w:hanging="57"/>
                              <w:rPr>
                                <w:b/>
                              </w:rPr>
                            </w:pPr>
                          </w:p>
                          <w:p w14:paraId="6A4D94E7" w14:textId="77777777" w:rsidR="006B7808" w:rsidRPr="006B06E0" w:rsidRDefault="006B7808" w:rsidP="00E64F26">
                            <w:pPr>
                              <w:spacing w:after="0" w:line="240" w:lineRule="auto"/>
                              <w:ind w:left="-113" w:right="-113"/>
                              <w:rPr>
                                <w:b/>
                              </w:rPr>
                            </w:pPr>
                            <w:r w:rsidRPr="006B06E0">
                              <w:rPr>
                                <w:b/>
                                <w:i/>
                              </w:rPr>
                              <w:t>E-mail</w:t>
                            </w:r>
                            <w:r w:rsidRPr="006B06E0">
                              <w:rPr>
                                <w:b/>
                              </w:rPr>
                              <w:t xml:space="preserve">: </w:t>
                            </w:r>
                          </w:p>
                          <w:p w14:paraId="3D564F3E" w14:textId="1D63EB94" w:rsidR="006B7808" w:rsidRPr="00191023" w:rsidRDefault="00BD638E" w:rsidP="00191023">
                            <w:pPr>
                              <w:spacing w:after="0" w:line="240" w:lineRule="auto"/>
                              <w:ind w:left="-113" w:right="-113"/>
                              <w:rPr>
                                <w:color w:val="000000"/>
                                <w:sz w:val="18"/>
                                <w:szCs w:val="20"/>
                              </w:rPr>
                            </w:pPr>
                            <w:hyperlink r:id="rId16" w:history="1">
                              <w:r w:rsidR="00191023" w:rsidRPr="00191023">
                                <w:rPr>
                                  <w:rStyle w:val="Hyperlink"/>
                                  <w:sz w:val="18"/>
                                  <w:szCs w:val="20"/>
                                </w:rPr>
                                <w:t>https://journal.uir.ac.id/index.php/kiat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B31F" id="Text Box 47" o:spid="_x0000_s1030" type="#_x0000_t202" style="position:absolute;margin-left:0;margin-top:17.5pt;width:146.9pt;height:56.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" stroked="f" strokeweight=".5pt">
                <v:textbox>
                  <w:txbxContent>
                    <w:p w14:paraId="0BB391FC" w14:textId="0F21F721" w:rsidR="006B7808" w:rsidRDefault="006B7808" w:rsidP="00D73B33">
                      <w:pPr>
                        <w:spacing w:after="0" w:line="240" w:lineRule="auto"/>
                        <w:ind w:left="-56" w:right="-113" w:hanging="57"/>
                        <w:rPr>
                          <w:b/>
                        </w:rPr>
                      </w:pPr>
                      <w:r>
                        <w:rPr>
                          <w:b/>
                        </w:rPr>
                        <w:t>Akses online:</w:t>
                      </w:r>
                    </w:p>
                    <w:p w14:paraId="251258AC" w14:textId="7E3FF599" w:rsidR="00DE6A76" w:rsidRDefault="00DE6A76" w:rsidP="00D73B33">
                      <w:pPr>
                        <w:spacing w:after="0" w:line="240" w:lineRule="auto"/>
                        <w:ind w:left="-56" w:right="-113" w:hanging="57"/>
                        <w:rPr>
                          <w:b/>
                        </w:rPr>
                      </w:pPr>
                    </w:p>
                    <w:p w14:paraId="6A4D94E7" w14:textId="77777777" w:rsidR="006B7808" w:rsidRPr="006B06E0" w:rsidRDefault="006B7808" w:rsidP="00E64F26">
                      <w:pPr>
                        <w:spacing w:after="0" w:line="240" w:lineRule="auto"/>
                        <w:ind w:left="-113" w:right="-113"/>
                        <w:rPr>
                          <w:b/>
                        </w:rPr>
                      </w:pPr>
                      <w:r w:rsidRPr="006B06E0">
                        <w:rPr>
                          <w:b/>
                          <w:i/>
                        </w:rPr>
                        <w:t>E-mail</w:t>
                      </w:r>
                      <w:r w:rsidRPr="006B06E0">
                        <w:rPr>
                          <w:b/>
                        </w:rPr>
                        <w:t xml:space="preserve">: </w:t>
                      </w:r>
                    </w:p>
                    <w:p w14:paraId="3D564F3E" w14:textId="1D63EB94" w:rsidR="006B7808" w:rsidRPr="00191023" w:rsidRDefault="00BD638E" w:rsidP="00191023">
                      <w:pPr>
                        <w:spacing w:after="0" w:line="240" w:lineRule="auto"/>
                        <w:ind w:left="-113" w:right="-113"/>
                        <w:rPr>
                          <w:color w:val="000000"/>
                          <w:sz w:val="18"/>
                          <w:szCs w:val="20"/>
                        </w:rPr>
                      </w:pPr>
                      <w:hyperlink r:id="rId17" w:history="1">
                        <w:r w:rsidR="00191023" w:rsidRPr="00191023">
                          <w:rPr>
                            <w:rStyle w:val="Hyperlink"/>
                            <w:sz w:val="18"/>
                            <w:szCs w:val="20"/>
                          </w:rPr>
                          <w:t>https://journal.uir.ac.id/index.php/kiat</w:t>
                        </w:r>
                      </w:hyperlink>
                    </w:p>
                  </w:txbxContent>
                </v:textbox>
              </v:shape>
            </w:pict>
          </mc:Fallback>
        </mc:AlternateContent>
      </w:r>
    </w:p>
    <w:p w14:paraId="4E34ED42" w14:textId="52C14D5A" w:rsidR="00D73B33" w:rsidRPr="00D6763D" w:rsidRDefault="006141E5" w:rsidP="004F05D7">
      <w:pPr>
        <w:tabs>
          <w:tab w:val="left" w:pos="2268"/>
        </w:tabs>
        <w:rPr>
          <w:szCs w:val="20"/>
        </w:rPr>
      </w:pPr>
      <w:r w:rsidRPr="00D6763D">
        <w:rPr>
          <w:noProof/>
          <w:szCs w:val="20"/>
        </w:rPr>
        <mc:AlternateContent>
          <mc:Choice Requires="wps">
            <w:drawing>
              <wp:anchor distT="0" distB="0" distL="114300" distR="114300" simplePos="0" relativeHeight="251641343" behindDoc="0" locked="0" layoutInCell="1" allowOverlap="1" wp14:anchorId="2852C37F" wp14:editId="366E0044">
                <wp:simplePos x="0" y="0"/>
                <wp:positionH relativeFrom="column">
                  <wp:posOffset>1996440</wp:posOffset>
                </wp:positionH>
                <wp:positionV relativeFrom="paragraph">
                  <wp:posOffset>210185</wp:posOffset>
                </wp:positionV>
                <wp:extent cx="3743960" cy="1809750"/>
                <wp:effectExtent l="0" t="0" r="8890" b="0"/>
                <wp:wrapNone/>
                <wp:docPr id="2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1809750"/>
                        </a:xfrm>
                        <a:prstGeom prst="rect">
                          <a:avLst/>
                        </a:prstGeom>
                        <a:solidFill>
                          <a:srgbClr val="FFFFFF"/>
                        </a:solidFill>
                        <a:ln w="6350">
                          <a:noFill/>
                          <a:miter lim="800000"/>
                          <a:headEnd/>
                          <a:tailEnd/>
                        </a:ln>
                      </wps:spPr>
                      <wps:txbx>
                        <w:txbxContent>
                          <w:p w14:paraId="0C240FC5" w14:textId="6CCDD25F" w:rsidR="00DA4B1F" w:rsidRPr="00CA2698" w:rsidRDefault="00CA2698" w:rsidP="00193189">
                            <w:pPr>
                              <w:spacing w:after="0" w:line="240" w:lineRule="auto"/>
                              <w:ind w:left="-113" w:right="-113"/>
                              <w:jc w:val="both"/>
                              <w:rPr>
                                <w:sz w:val="12"/>
                                <w:szCs w:val="20"/>
                              </w:rPr>
                            </w:pPr>
                            <w:r w:rsidRPr="00CA2698">
                              <w:rPr>
                                <w:rFonts w:eastAsia="Palatino Linotype"/>
                                <w:bCs/>
                                <w:i/>
                                <w:sz w:val="18"/>
                                <w:szCs w:val="18"/>
                              </w:rPr>
                              <w:t>The purpose of this study was to determine whether company size, debt default, financial condition, company growth, and leverage (DAR) have a significant effect on acceptance of going concern audit opinions in plantation sub-sector companies listed on the IDX. The sample selection was carried out using the purposive sampling method, obtained a total sample of 14 companies with the 2016-2020 research period. The data analysis technique used is multiple linear regression analysis using the help of Eviews 12. The results of the study simultaneously obtained that company size, debt default and leverage (DAR) had no significant effect on going concern audit opinion acceptance while company growth and financial condition (ROA) have an effect on the acceptance of the Going Concern Audit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2C37F" id="_x0000_s1031" type="#_x0000_t202" style="position:absolute;margin-left:157.2pt;margin-top:16.55pt;width:294.8pt;height:142.5pt;z-index:25164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" stroked="f" strokeweight=".5pt">
                <v:textbox>
                  <w:txbxContent>
                    <w:p w14:paraId="0C240FC5" w14:textId="6CCDD25F" w:rsidR="00DA4B1F" w:rsidRPr="00CA2698" w:rsidRDefault="00CA2698" w:rsidP="00193189">
                      <w:pPr>
                        <w:spacing w:after="0" w:line="240" w:lineRule="auto"/>
                        <w:ind w:left="-113" w:right="-113"/>
                        <w:jc w:val="both"/>
                        <w:rPr>
                          <w:sz w:val="12"/>
                          <w:szCs w:val="20"/>
                        </w:rPr>
                      </w:pPr>
                      <w:r w:rsidRPr="00CA2698">
                        <w:rPr>
                          <w:rFonts w:eastAsia="Palatino Linotype"/>
                          <w:bCs/>
                          <w:i/>
                          <w:sz w:val="18"/>
                          <w:szCs w:val="18"/>
                        </w:rPr>
                        <w:t>The purpose of this study was to determine whether company size, debt default, financial condition, company growth, and leverage (DAR) have a significant effect on acceptance of going concern audit opinions in plantation sub-sector companies listed on the IDX. The sample selection was carried out using the purposive sampling method, obtained a total sample of 14 companies with the 2016-2020 research period. The data analysis technique used is multiple linear regression analysis using the help of Eviews 12. The results of the study simultaneously obtained that company size, debt default and leverage (DAR) had no significant effect on going concern audit opinion acceptance while company growth and financial condition (ROA) have an effect on the acceptance of the Going Concern Audit Opinion</w:t>
                      </w:r>
                    </w:p>
                  </w:txbxContent>
                </v:textbox>
              </v:shape>
            </w:pict>
          </mc:Fallback>
        </mc:AlternateContent>
      </w:r>
    </w:p>
    <w:p w14:paraId="5F7EDD8F" w14:textId="039819BC" w:rsidR="00D73B33" w:rsidRPr="00D6763D" w:rsidRDefault="00DA4B1F" w:rsidP="007E2FAC">
      <w:pPr>
        <w:tabs>
          <w:tab w:val="left" w:pos="7980"/>
          <w:tab w:val="right" w:pos="9071"/>
        </w:tabs>
        <w:rPr>
          <w:szCs w:val="20"/>
        </w:rPr>
      </w:pPr>
      <w:r w:rsidRPr="00D6763D">
        <w:rPr>
          <w:noProof/>
          <w:szCs w:val="20"/>
        </w:rPr>
        <mc:AlternateContent>
          <mc:Choice Requires="wps">
            <w:drawing>
              <wp:anchor distT="0" distB="0" distL="114300" distR="114300" simplePos="0" relativeHeight="251655680" behindDoc="0" locked="0" layoutInCell="1" allowOverlap="1" wp14:anchorId="11013D70" wp14:editId="16E12898">
                <wp:simplePos x="0" y="0"/>
                <wp:positionH relativeFrom="column">
                  <wp:posOffset>-13970</wp:posOffset>
                </wp:positionH>
                <wp:positionV relativeFrom="paragraph">
                  <wp:posOffset>281305</wp:posOffset>
                </wp:positionV>
                <wp:extent cx="1889760" cy="0"/>
                <wp:effectExtent l="0" t="0" r="0" b="0"/>
                <wp:wrapNone/>
                <wp:docPr id="1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A2792" id="AutoShape 55" o:spid="_x0000_s1026" type="#_x0000_t32" style="position:absolute;margin-left:-1.1pt;margin-top:22.15pt;width:148.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"/>
            </w:pict>
          </mc:Fallback>
        </mc:AlternateContent>
      </w:r>
      <w:r w:rsidR="007E2FAC" w:rsidRPr="00D6763D">
        <w:rPr>
          <w:szCs w:val="20"/>
        </w:rPr>
        <w:tab/>
      </w:r>
      <w:r w:rsidR="007E2FAC" w:rsidRPr="00D6763D">
        <w:rPr>
          <w:szCs w:val="20"/>
        </w:rPr>
        <w:tab/>
      </w:r>
    </w:p>
    <w:p w14:paraId="210695F6" w14:textId="7D200494" w:rsidR="00D73B33" w:rsidRPr="00D6763D" w:rsidRDefault="00DE6A76" w:rsidP="002A64FE">
      <w:pPr>
        <w:tabs>
          <w:tab w:val="left" w:pos="2268"/>
        </w:tabs>
        <w:spacing w:after="240" w:line="600" w:lineRule="auto"/>
        <w:rPr>
          <w:szCs w:val="20"/>
        </w:rPr>
      </w:pPr>
      <w:r w:rsidRPr="00D6763D">
        <w:rPr>
          <w:noProof/>
          <w:szCs w:val="20"/>
        </w:rPr>
        <mc:AlternateContent>
          <mc:Choice Requires="wps">
            <w:drawing>
              <wp:anchor distT="0" distB="0" distL="114300" distR="114300" simplePos="0" relativeHeight="251653632" behindDoc="0" locked="0" layoutInCell="1" allowOverlap="1" wp14:anchorId="21BD26D4" wp14:editId="0D97A154">
                <wp:simplePos x="0" y="0"/>
                <wp:positionH relativeFrom="column">
                  <wp:posOffset>41910</wp:posOffset>
                </wp:positionH>
                <wp:positionV relativeFrom="paragraph">
                  <wp:posOffset>412115</wp:posOffset>
                </wp:positionV>
                <wp:extent cx="1865630" cy="647700"/>
                <wp:effectExtent l="0" t="0" r="127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647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2E03A2" w14:textId="76BDE963" w:rsidR="006B7808" w:rsidRPr="00E85B16" w:rsidRDefault="006B7808" w:rsidP="007E0A23">
                            <w:pPr>
                              <w:spacing w:after="0" w:line="220" w:lineRule="exact"/>
                              <w:ind w:left="-113" w:right="-113"/>
                              <w:jc w:val="both"/>
                              <w:rPr>
                                <w:iCs/>
                              </w:rPr>
                            </w:pPr>
                            <w:r w:rsidRPr="009242DE">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D26D4" id="Text Box 49" o:spid="_x0000_s1032" type="#_x0000_t202" style="position:absolute;margin-left:3.3pt;margin-top:32.45pt;width:146.9pt;height: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" stroked="f" strokeweight=".5pt">
                <v:textbox>
                  <w:txbxContent>
                    <w:p w14:paraId="742E03A2" w14:textId="76BDE963" w:rsidR="006B7808" w:rsidRPr="00E85B16" w:rsidRDefault="006B7808" w:rsidP="007E0A23">
                      <w:pPr>
                        <w:spacing w:after="0" w:line="220" w:lineRule="exact"/>
                        <w:ind w:left="-113" w:right="-113"/>
                        <w:jc w:val="both"/>
                        <w:rPr>
                          <w:iCs/>
                        </w:rPr>
                      </w:pPr>
                      <w:r w:rsidRPr="009242DE">
                        <w:rPr>
                          <w:i/>
                        </w:rPr>
                        <w:t xml:space="preserve"> </w:t>
                      </w:r>
                    </w:p>
                  </w:txbxContent>
                </v:textbox>
              </v:shape>
            </w:pict>
          </mc:Fallback>
        </mc:AlternateContent>
      </w:r>
    </w:p>
    <w:p w14:paraId="14B3BE22" w14:textId="77777777" w:rsidR="006B7808" w:rsidRPr="00D6763D" w:rsidRDefault="006B7808" w:rsidP="007E2FAC">
      <w:pPr>
        <w:tabs>
          <w:tab w:val="left" w:pos="2268"/>
        </w:tabs>
        <w:spacing w:after="0" w:line="480" w:lineRule="auto"/>
        <w:rPr>
          <w:szCs w:val="20"/>
        </w:rPr>
      </w:pPr>
    </w:p>
    <w:p w14:paraId="4E91E7EE" w14:textId="483EFB71" w:rsidR="006B7808" w:rsidRPr="00D6763D" w:rsidRDefault="006B7808" w:rsidP="007E2FAC">
      <w:pPr>
        <w:tabs>
          <w:tab w:val="left" w:pos="2268"/>
        </w:tabs>
        <w:spacing w:after="0" w:line="480" w:lineRule="auto"/>
        <w:rPr>
          <w:szCs w:val="20"/>
        </w:rPr>
      </w:pPr>
    </w:p>
    <w:p w14:paraId="4C618DD1" w14:textId="77777777" w:rsidR="00CA2698" w:rsidRDefault="00CA2698" w:rsidP="007E2FAC">
      <w:pPr>
        <w:tabs>
          <w:tab w:val="left" w:pos="2268"/>
        </w:tabs>
        <w:spacing w:after="0" w:line="480" w:lineRule="auto"/>
        <w:rPr>
          <w:szCs w:val="20"/>
        </w:rPr>
      </w:pPr>
    </w:p>
    <w:p w14:paraId="3C3F62BC" w14:textId="16C66A7F" w:rsidR="00CA2698" w:rsidRDefault="00CA2698" w:rsidP="007E2FAC">
      <w:pPr>
        <w:tabs>
          <w:tab w:val="left" w:pos="2268"/>
        </w:tabs>
        <w:spacing w:after="0" w:line="480" w:lineRule="auto"/>
        <w:rPr>
          <w:szCs w:val="20"/>
        </w:rPr>
      </w:pPr>
      <w:r w:rsidRPr="00D6763D">
        <w:rPr>
          <w:noProof/>
          <w:szCs w:val="20"/>
        </w:rPr>
        <mc:AlternateContent>
          <mc:Choice Requires="wpg">
            <w:drawing>
              <wp:anchor distT="0" distB="0" distL="114300" distR="114300" simplePos="0" relativeHeight="251663872" behindDoc="0" locked="0" layoutInCell="1" allowOverlap="1" wp14:anchorId="1FFEA238" wp14:editId="352282D2">
                <wp:simplePos x="0" y="0"/>
                <wp:positionH relativeFrom="margin">
                  <wp:posOffset>2045335</wp:posOffset>
                </wp:positionH>
                <wp:positionV relativeFrom="paragraph">
                  <wp:posOffset>7620</wp:posOffset>
                </wp:positionV>
                <wp:extent cx="3743960" cy="565785"/>
                <wp:effectExtent l="0" t="0" r="8890" b="5715"/>
                <wp:wrapNone/>
                <wp:docPr id="25" name="Group 25"/>
                <wp:cNvGraphicFramePr/>
                <a:graphic xmlns:a="http://schemas.openxmlformats.org/drawingml/2006/main">
                  <a:graphicData uri="http://schemas.microsoft.com/office/word/2010/wordprocessingGroup">
                    <wpg:wgp>
                      <wpg:cNvGrpSpPr/>
                      <wpg:grpSpPr>
                        <a:xfrm>
                          <a:off x="0" y="0"/>
                          <a:ext cx="3743960" cy="565785"/>
                          <a:chOff x="0" y="9525"/>
                          <a:chExt cx="3743960" cy="270510"/>
                        </a:xfrm>
                      </wpg:grpSpPr>
                      <wps:wsp>
                        <wps:cNvPr id="11" name="Text Box 50"/>
                        <wps:cNvSpPr txBox="1">
                          <a:spLocks noChangeArrowheads="1"/>
                        </wps:cNvSpPr>
                        <wps:spPr bwMode="auto">
                          <a:xfrm>
                            <a:off x="0" y="28575"/>
                            <a:ext cx="374396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D48D0" w14:textId="49AAC98D" w:rsidR="006B7808" w:rsidRPr="006B7808" w:rsidRDefault="006B7808" w:rsidP="00C97DA6">
                              <w:pPr>
                                <w:tabs>
                                  <w:tab w:val="left" w:pos="851"/>
                                </w:tabs>
                                <w:spacing w:after="0" w:line="240" w:lineRule="auto"/>
                                <w:ind w:left="908" w:right="-113" w:hanging="1021"/>
                                <w:jc w:val="both"/>
                                <w:rPr>
                                  <w:sz w:val="18"/>
                                </w:rPr>
                              </w:pPr>
                              <w:r w:rsidRPr="006B7808">
                                <w:rPr>
                                  <w:b/>
                                  <w:sz w:val="18"/>
                                  <w:szCs w:val="20"/>
                                </w:rPr>
                                <w:t>Katakunci:</w:t>
                              </w:r>
                              <w:r w:rsidRPr="006B7808">
                                <w:rPr>
                                  <w:b/>
                                  <w:sz w:val="18"/>
                                  <w:szCs w:val="20"/>
                                </w:rPr>
                                <w:tab/>
                              </w:r>
                              <w:r w:rsidR="005870C3" w:rsidRPr="005870C3">
                                <w:rPr>
                                  <w:bCs/>
                                  <w:sz w:val="18"/>
                                  <w:szCs w:val="20"/>
                                </w:rPr>
                                <w:t>Ukuran Perusahaan, Debt Default, Kondisi Keuangan, Pertumbuhan Perusahaan, Leverage, Opini Audit Going Concern</w:t>
                              </w:r>
                            </w:p>
                          </w:txbxContent>
                        </wps:txbx>
                        <wps:bodyPr rot="0" vert="horz" wrap="square" lIns="91440" tIns="45720" rIns="91440" bIns="45720" anchor="t" anchorCtr="0" upright="1">
                          <a:noAutofit/>
                        </wps:bodyPr>
                      </wps:wsp>
                      <wps:wsp>
                        <wps:cNvPr id="27" name="AutoShape 56"/>
                        <wps:cNvCnPr>
                          <a:cxnSpLocks noChangeShapeType="1"/>
                        </wps:cNvCnPr>
                        <wps:spPr bwMode="auto">
                          <a:xfrm>
                            <a:off x="0" y="9525"/>
                            <a:ext cx="3707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FFEA238" id="Group 25" o:spid="_x0000_s1033" style="position:absolute;margin-left:161.05pt;margin-top:.6pt;width:294.8pt;height:44.55pt;z-index:251663872;mso-position-horizontal-relative:margin;mso-height-relative:margin" coordorigin=",95" coordsize="37439,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">
                <v:shape id="Text Box 50" o:spid="_x0000_s1034" type="#_x0000_t202" style="position:absolute;top:285;width:3743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E2D48D0" w14:textId="49AAC98D" w:rsidR="006B7808" w:rsidRPr="006B7808" w:rsidRDefault="006B7808" w:rsidP="00C97DA6">
                        <w:pPr>
                          <w:tabs>
                            <w:tab w:val="left" w:pos="851"/>
                          </w:tabs>
                          <w:spacing w:after="0" w:line="240" w:lineRule="auto"/>
                          <w:ind w:left="908" w:right="-113" w:hanging="1021"/>
                          <w:jc w:val="both"/>
                          <w:rPr>
                            <w:sz w:val="18"/>
                          </w:rPr>
                        </w:pPr>
                        <w:r w:rsidRPr="006B7808">
                          <w:rPr>
                            <w:b/>
                            <w:sz w:val="18"/>
                            <w:szCs w:val="20"/>
                          </w:rPr>
                          <w:t>Katakunci:</w:t>
                        </w:r>
                        <w:r w:rsidRPr="006B7808">
                          <w:rPr>
                            <w:b/>
                            <w:sz w:val="18"/>
                            <w:szCs w:val="20"/>
                          </w:rPr>
                          <w:tab/>
                        </w:r>
                        <w:r w:rsidR="005870C3" w:rsidRPr="005870C3">
                          <w:rPr>
                            <w:bCs/>
                            <w:sz w:val="18"/>
                            <w:szCs w:val="20"/>
                          </w:rPr>
                          <w:t>Ukuran Perusahaan, Debt Default, Kondisi Keuangan, Pertumbuhan Perusahaan, Leverage, Opini Audit Going Concern</w:t>
                        </w:r>
                      </w:p>
                    </w:txbxContent>
                  </v:textbox>
                </v:shape>
                <v:shape id="AutoShape 56" o:spid="_x0000_s1035" type="#_x0000_t32" style="position:absolute;top:95;width:37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w10:wrap anchorx="margin"/>
              </v:group>
            </w:pict>
          </mc:Fallback>
        </mc:AlternateContent>
      </w:r>
    </w:p>
    <w:p w14:paraId="44D908F5" w14:textId="77777777" w:rsidR="00CA2698" w:rsidRDefault="00CA2698" w:rsidP="007E2FAC">
      <w:pPr>
        <w:tabs>
          <w:tab w:val="left" w:pos="2268"/>
        </w:tabs>
        <w:spacing w:after="0" w:line="480" w:lineRule="auto"/>
        <w:rPr>
          <w:szCs w:val="20"/>
        </w:rPr>
      </w:pPr>
    </w:p>
    <w:p w14:paraId="4E7B7D89" w14:textId="4F9EB65A" w:rsidR="006B7808" w:rsidRPr="00D6763D" w:rsidRDefault="006B7808" w:rsidP="007E2FAC">
      <w:pPr>
        <w:tabs>
          <w:tab w:val="left" w:pos="2268"/>
        </w:tabs>
        <w:spacing w:after="0" w:line="480" w:lineRule="auto"/>
        <w:rPr>
          <w:szCs w:val="20"/>
        </w:rPr>
      </w:pPr>
    </w:p>
    <w:p w14:paraId="728BD612" w14:textId="392220DF" w:rsidR="000A6785" w:rsidRPr="00D6763D" w:rsidRDefault="0070214C" w:rsidP="004F05D7">
      <w:pPr>
        <w:tabs>
          <w:tab w:val="left" w:pos="2268"/>
        </w:tabs>
        <w:spacing w:after="0" w:line="240" w:lineRule="auto"/>
        <w:rPr>
          <w:b/>
          <w:szCs w:val="20"/>
        </w:rPr>
      </w:pPr>
      <w:r w:rsidRPr="00D6763D">
        <w:rPr>
          <w:b/>
          <w:noProof/>
          <w:szCs w:val="20"/>
        </w:rPr>
        <mc:AlternateContent>
          <mc:Choice Requires="wps">
            <w:drawing>
              <wp:anchor distT="0" distB="0" distL="114300" distR="114300" simplePos="0" relativeHeight="251649536" behindDoc="0" locked="0" layoutInCell="1" allowOverlap="1" wp14:anchorId="11AF29F5" wp14:editId="07E966B6">
                <wp:simplePos x="0" y="0"/>
                <wp:positionH relativeFrom="column">
                  <wp:posOffset>0</wp:posOffset>
                </wp:positionH>
                <wp:positionV relativeFrom="paragraph">
                  <wp:posOffset>62601</wp:posOffset>
                </wp:positionV>
                <wp:extent cx="5740400" cy="0"/>
                <wp:effectExtent l="0" t="0" r="0" b="0"/>
                <wp:wrapNone/>
                <wp:docPr id="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DE69E" id="AutoShape 57" o:spid="_x0000_s1026" type="#_x0000_t32" style="position:absolute;margin-left:0;margin-top:4.95pt;width:452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" strokeweight="1pt"/>
            </w:pict>
          </mc:Fallback>
        </mc:AlternateContent>
      </w:r>
    </w:p>
    <w:p w14:paraId="79A0608E" w14:textId="77777777" w:rsidR="00514D36" w:rsidRPr="00D6763D" w:rsidRDefault="00514D36" w:rsidP="004F05D7">
      <w:pPr>
        <w:tabs>
          <w:tab w:val="left" w:pos="2268"/>
        </w:tabs>
        <w:spacing w:after="0" w:line="240" w:lineRule="auto"/>
        <w:rPr>
          <w:b/>
          <w:szCs w:val="20"/>
        </w:rPr>
        <w:sectPr w:rsidR="00514D36" w:rsidRPr="00D6763D" w:rsidSect="00220E7B">
          <w:type w:val="continuous"/>
          <w:pgSz w:w="11906" w:h="16838"/>
          <w:pgMar w:top="1985" w:right="1134" w:bottom="1134" w:left="1701" w:header="709" w:footer="709" w:gutter="0"/>
          <w:cols w:space="720"/>
          <w:docGrid w:linePitch="360"/>
        </w:sectPr>
      </w:pPr>
    </w:p>
    <w:p w14:paraId="2FDC71EC" w14:textId="77777777" w:rsidR="00D6763D" w:rsidRPr="00D6763D" w:rsidRDefault="00D6763D" w:rsidP="00D6763D">
      <w:pPr>
        <w:numPr>
          <w:ilvl w:val="0"/>
          <w:numId w:val="1"/>
        </w:numPr>
        <w:autoSpaceDE w:val="0"/>
        <w:autoSpaceDN w:val="0"/>
        <w:adjustRightInd w:val="0"/>
        <w:spacing w:after="0" w:line="240" w:lineRule="auto"/>
        <w:ind w:left="425" w:hanging="425"/>
        <w:jc w:val="both"/>
        <w:rPr>
          <w:b/>
          <w:szCs w:val="20"/>
        </w:rPr>
        <w:sectPr w:rsidR="00D6763D" w:rsidRPr="00D6763D" w:rsidSect="005529CF">
          <w:type w:val="continuous"/>
          <w:pgSz w:w="11906" w:h="16838"/>
          <w:pgMar w:top="1985" w:right="1134" w:bottom="1134" w:left="1701" w:header="284" w:footer="709" w:gutter="0"/>
          <w:cols w:num="2" w:space="285"/>
          <w:docGrid w:linePitch="360"/>
        </w:sectPr>
      </w:pPr>
      <w:r w:rsidRPr="00D6763D">
        <w:rPr>
          <w:b/>
          <w:szCs w:val="20"/>
        </w:rPr>
        <w:t>Pendahuluan</w:t>
      </w:r>
    </w:p>
    <w:p w14:paraId="6F465433" w14:textId="77777777" w:rsidR="005870C3" w:rsidRPr="005870C3" w:rsidRDefault="005870C3" w:rsidP="005870C3">
      <w:pPr>
        <w:spacing w:after="0"/>
        <w:ind w:left="426"/>
        <w:jc w:val="both"/>
        <w:rPr>
          <w:szCs w:val="20"/>
        </w:rPr>
      </w:pPr>
      <w:r w:rsidRPr="005870C3">
        <w:rPr>
          <w:szCs w:val="20"/>
        </w:rPr>
        <w:t xml:space="preserve">Untuk menyusun sebuah laporan keuangan pada suatu perusahaan (entity), harus diasumsikan bahwa perusahaan akan terus aktif pada masa-masa yang akan datang, dan tidak ada anggapan bahwa perusahaan akan mengalami kebangkrutan. Setiap perusahaan mempunyai tujuan untuk mempertahankan kelangsungan hidup usahanya melalui asumsi going concern. Kemampuan manajemen dalam mengelola sebuah perusahaan sangat berkaitan dengan kelangsungan hidup perusahaan. Akan tetapi, manajemen dalam suatu perusahaan dianggap tidak dapat objektif dalam memberikan laporan hasil prestasinya, sehingga auditor independen sangat diperlukan untuk menilai dan melihat </w:t>
      </w:r>
      <w:r w:rsidRPr="005870C3">
        <w:rPr>
          <w:szCs w:val="20"/>
        </w:rPr>
        <w:t xml:space="preserve">apakah pengelolaan dana dan penyusunan laporan yang dilakukan oleh manajemen telah sesuai dengan standar akuntansi keuangan. Going concern dapat diartikan sebagai perusahaan yang terus beroperasi sampai batas waktu yang tidak terbatas atau dengan kata lain going concern merupakan kemampuan perusahaan untuk memastikan potensi keberadaannya dimasa yang akan datang. Asumsi going concern dalam audit berarti adanya justifikasi bahwa perusahaan tidak dapat menjaga kelangsungan hidupnya. Going concern dipakai sebagai asumsi dalam pelaporan keuangan sepanjang tidak terbukti adanya informasi yang menunjukkkan hal berlawanan (contrary information). Dalam perusahaan yang </w:t>
      </w:r>
      <w:r w:rsidRPr="005870C3">
        <w:rPr>
          <w:szCs w:val="20"/>
        </w:rPr>
        <w:lastRenderedPageBreak/>
        <w:t xml:space="preserve">berhubungan dengan ketidak </w:t>
      </w:r>
      <w:proofErr w:type="gramStart"/>
      <w:r w:rsidRPr="005870C3">
        <w:rPr>
          <w:szCs w:val="20"/>
        </w:rPr>
        <w:t>mampuan  satuan</w:t>
      </w:r>
      <w:proofErr w:type="gramEnd"/>
      <w:r w:rsidRPr="005870C3">
        <w:rPr>
          <w:szCs w:val="20"/>
        </w:rPr>
        <w:t xml:space="preserve"> usaha dalam memenuhi kewajiban pada saat jatuh tempo tanpa melakukan penjualan sebagian besar aktiva kepada pihak luar melalui bisnis biasa, restrukturisasi utang, perbaikan operasi yang dipaksakan dari luar dan kegiatan serupa lainnya termasuk informasi yang secara signifikan dianggap berlawanan dengan asumsi kelangsungan hidup suatu usaha (Darya &amp; Puspitasari, 2012).</w:t>
      </w:r>
    </w:p>
    <w:p w14:paraId="5B31574B" w14:textId="781911F3" w:rsidR="00B57DE8" w:rsidRPr="00997172" w:rsidRDefault="005870C3" w:rsidP="005870C3">
      <w:pPr>
        <w:spacing w:after="0"/>
        <w:ind w:left="426"/>
        <w:jc w:val="both"/>
        <w:rPr>
          <w:szCs w:val="20"/>
        </w:rPr>
      </w:pPr>
      <w:r w:rsidRPr="005870C3">
        <w:rPr>
          <w:szCs w:val="20"/>
        </w:rPr>
        <w:t xml:space="preserve">Opini audit going concern merupakan asumsi dasar yang sangat diperlukan, karena opini tersebut sangat bermanfaat bagi pengguna laporan keuangan dalam memutuskan investasi yang tepat untuk investasi Sehingga saat seseorang investor akan menanam investasi, investor tersebut juga harus memahami keadaan finansial perusahaan tersebut, khususnya berkaitan dengan kelangsungan aktivitas perusahaan. Kondisi ini yang akan menyebabkan auditor memiliki tanggung jawab guna menghasilkan opini audit going concern yang sesuai dengan kenyataan yang sesungguhnya (Mulyanti dan Achyani 2022; Yosafat Chrizar Ratu Nagari dan Suhartini 2022). Salah satu faktor yang mempengaruhi opini audit going concern adalah ukuran </w:t>
      </w:r>
      <w:proofErr w:type="gramStart"/>
      <w:r w:rsidRPr="005870C3">
        <w:rPr>
          <w:szCs w:val="20"/>
        </w:rPr>
        <w:t>perusahaan(</w:t>
      </w:r>
      <w:proofErr w:type="gramEnd"/>
      <w:r w:rsidRPr="005870C3">
        <w:rPr>
          <w:szCs w:val="20"/>
        </w:rPr>
        <w:t xml:space="preserve">PUTRI 2021), ukuran perusahaan adalah besar kecilnya perusahaan dapat diukur dengan total aktiva atau besar harta perusahaan dengan menggunakan perhitungan nilai logaritma total aktiva. Debt default dianggap sebagai faktor yang mempengaruhi opini audit going concern oleh auditor. Ketika jumlah hutang perusahaan sangat tinggi, maka arus kas perusahaan harus dialihkan untuk menutupi kewajibannya sehingga dapat mengganggu stabilitas operasi perusahaan. Apabila hutang ini tidak mampu dilunasi, maka kreditor akan memberikan status default. Status default dapat meningkatkan kemungkinan auditor mengeluarkan laporan audit going concern (Simbolon 2020) faktor lainnya yang mempengeruhi opini audit going concern adalah Profitabilitas (ROA) yaitu Kemampuan perusahaan secara keseluruhan dalam menghasilkan keuntungan degan jumlah keseluruhan aset yang dimiliki (Tyas dan Ismawati 2018), Pertumbuhan Perusahaan (growth) yaitu Kemampuan perusahaan dalam mempertahankan posisi ekonominya di tengah pertumbuhan perekonomian serta sektor usahanya yang dilihat dari pertumbuhan penjualannya karena penjualan merupakan kegiatan utama </w:t>
      </w:r>
      <w:r w:rsidRPr="005870C3">
        <w:rPr>
          <w:szCs w:val="20"/>
        </w:rPr>
        <w:t>perusahaan untuk dapat terus hidup (SUANTURI 2012) ,serta  Debt to Asset Ratio (DAR) yaitu kemampuan perusahaan untuk membayar seluruh hutangnya dengan mempergunakan seluruh asset yang dimiliki (Widhiastuti dan Putu Diah Kumalasari 2022).</w:t>
      </w:r>
    </w:p>
    <w:p w14:paraId="1EFC36F6" w14:textId="77777777" w:rsidR="00D6763D" w:rsidRPr="00D6763D" w:rsidRDefault="00D6763D" w:rsidP="00D6763D">
      <w:pPr>
        <w:numPr>
          <w:ilvl w:val="0"/>
          <w:numId w:val="1"/>
        </w:numPr>
        <w:autoSpaceDE w:val="0"/>
        <w:autoSpaceDN w:val="0"/>
        <w:adjustRightInd w:val="0"/>
        <w:spacing w:before="120" w:after="60" w:line="240" w:lineRule="auto"/>
        <w:ind w:left="425" w:hanging="425"/>
        <w:jc w:val="both"/>
        <w:rPr>
          <w:b/>
          <w:szCs w:val="20"/>
        </w:rPr>
      </w:pPr>
      <w:r w:rsidRPr="00D6763D">
        <w:rPr>
          <w:b/>
          <w:szCs w:val="20"/>
        </w:rPr>
        <w:t>Telaah Pustaka</w:t>
      </w:r>
    </w:p>
    <w:p w14:paraId="4CD54C37" w14:textId="77777777" w:rsidR="00D6763D" w:rsidRPr="00D6763D" w:rsidRDefault="00D6763D" w:rsidP="00D6763D">
      <w:pPr>
        <w:pStyle w:val="ListParagraph"/>
        <w:numPr>
          <w:ilvl w:val="0"/>
          <w:numId w:val="10"/>
        </w:numPr>
        <w:autoSpaceDE w:val="0"/>
        <w:autoSpaceDN w:val="0"/>
        <w:adjustRightInd w:val="0"/>
        <w:spacing w:before="120" w:after="60" w:line="240" w:lineRule="auto"/>
        <w:jc w:val="both"/>
        <w:rPr>
          <w:b/>
          <w:vanish/>
          <w:szCs w:val="20"/>
          <w:lang w:val="en-US"/>
        </w:rPr>
      </w:pPr>
    </w:p>
    <w:p w14:paraId="2DD9B372" w14:textId="77777777" w:rsidR="00D6763D" w:rsidRPr="00D6763D" w:rsidRDefault="00D6763D" w:rsidP="00D6763D">
      <w:pPr>
        <w:pStyle w:val="ListParagraph"/>
        <w:numPr>
          <w:ilvl w:val="0"/>
          <w:numId w:val="10"/>
        </w:numPr>
        <w:autoSpaceDE w:val="0"/>
        <w:autoSpaceDN w:val="0"/>
        <w:adjustRightInd w:val="0"/>
        <w:spacing w:before="120" w:after="60" w:line="240" w:lineRule="auto"/>
        <w:jc w:val="both"/>
        <w:rPr>
          <w:b/>
          <w:vanish/>
          <w:szCs w:val="20"/>
          <w:lang w:val="en-US"/>
        </w:rPr>
      </w:pPr>
    </w:p>
    <w:p w14:paraId="13C5F19C" w14:textId="6063DDB8" w:rsidR="00D6763D" w:rsidRPr="00D6763D" w:rsidRDefault="005870C3" w:rsidP="00D6763D">
      <w:pPr>
        <w:pStyle w:val="ListParagraph"/>
        <w:widowControl w:val="0"/>
        <w:numPr>
          <w:ilvl w:val="1"/>
          <w:numId w:val="10"/>
        </w:numPr>
        <w:autoSpaceDE w:val="0"/>
        <w:autoSpaceDN w:val="0"/>
        <w:adjustRightInd w:val="0"/>
        <w:spacing w:after="60" w:line="240" w:lineRule="auto"/>
        <w:ind w:left="426"/>
        <w:jc w:val="both"/>
        <w:rPr>
          <w:color w:val="000000"/>
          <w:w w:val="102"/>
          <w:szCs w:val="20"/>
        </w:rPr>
      </w:pPr>
      <w:bookmarkStart w:id="0" w:name="_Hlk41818577"/>
      <w:r w:rsidRPr="005870C3">
        <w:rPr>
          <w:color w:val="000000"/>
          <w:w w:val="102"/>
          <w:szCs w:val="20"/>
          <w:lang w:val="en-US"/>
        </w:rPr>
        <w:t xml:space="preserve">Teori Keagenan </w:t>
      </w:r>
      <w:r w:rsidRPr="005870C3">
        <w:rPr>
          <w:i/>
          <w:iCs/>
          <w:color w:val="000000"/>
          <w:w w:val="102"/>
          <w:szCs w:val="20"/>
          <w:lang w:val="en-US"/>
        </w:rPr>
        <w:t>(Agency Theory</w:t>
      </w:r>
      <w:r w:rsidR="00D6763D" w:rsidRPr="00A3589D">
        <w:rPr>
          <w:i/>
          <w:iCs/>
          <w:color w:val="000000"/>
          <w:w w:val="102"/>
          <w:szCs w:val="20"/>
          <w:lang w:val="en-US"/>
        </w:rPr>
        <w:t>)</w:t>
      </w:r>
    </w:p>
    <w:p w14:paraId="7CE297AE" w14:textId="77777777" w:rsidR="00A3589D" w:rsidRPr="00A3589D" w:rsidRDefault="00A3589D" w:rsidP="00A3589D">
      <w:pPr>
        <w:pStyle w:val="ListParagraph"/>
        <w:tabs>
          <w:tab w:val="left" w:pos="540"/>
        </w:tabs>
        <w:spacing w:after="0"/>
        <w:ind w:left="425" w:firstLine="284"/>
        <w:jc w:val="both"/>
        <w:rPr>
          <w:lang w:val="en-US"/>
        </w:rPr>
      </w:pPr>
      <w:r w:rsidRPr="00A3589D">
        <w:rPr>
          <w:lang w:val="en-US"/>
        </w:rPr>
        <w:t>Teori keagenan ini muncul ketika terjadi sebuah kontrak antara manajer (agent) dengan pemilik (principal). Seorang manajer (agent) akan lebih mengetahui mengenai keadaan perusahaannya dibandingkan dengan pemilik (principal). Manajer (agent) berkewajiban untuk memberikan informasi kepada pemilik (principal). Akan tetapi informasi yang disampaikan terkadang tidak sesuai dengan keadaan yang sebenarnya di perusahaan. Konflik kepentingan antar manajer (agent) dengan pemilik (principal) akan menimbulkan adanya biaya keagenan (agency cost) Jensen dan Meckling dalam (Astuti, Sudarmaji, dan 2022; Ginting dan Tarihoran 2017; Wahasusmiah, Indriani, dan Pratama 2019).</w:t>
      </w:r>
    </w:p>
    <w:p w14:paraId="53528461" w14:textId="1BE1D624" w:rsidR="00997172" w:rsidRPr="00997172" w:rsidRDefault="00A3589D" w:rsidP="00A3589D">
      <w:pPr>
        <w:pStyle w:val="ListParagraph"/>
        <w:tabs>
          <w:tab w:val="left" w:pos="540"/>
        </w:tabs>
        <w:spacing w:after="0"/>
        <w:ind w:left="425" w:firstLine="284"/>
        <w:jc w:val="both"/>
        <w:rPr>
          <w:lang w:val="en-US"/>
        </w:rPr>
      </w:pPr>
      <w:r w:rsidRPr="00A3589D">
        <w:rPr>
          <w:lang w:val="en-US"/>
        </w:rPr>
        <w:t>Teori keagenan juga mengungkapkan bahwa ada hubungan keagenan ketika prinsipal mempercayakan agen untuk memberikan layanan keagenan. layanan dan kemudian otorisasi proxy untuk pengambilan keputusan. Tujuan dari teori keagenan adalah untuk Meningkatkan kapasitas individu, termasuk agen dan prinsipal dalam menilai lingkungan dimana keputusan harus diambil, menilai hasil dari keputusan yang telah ditetapkan untuk memudahkan pembagian hasil antra agen dan prinsipal berpatokan pada kontrak kerja yang telah disetujui Bersama (Dragomir, Dumitru, dan Feleagă 2021)</w:t>
      </w:r>
      <w:r w:rsidR="00997172" w:rsidRPr="00997172">
        <w:rPr>
          <w:lang w:val="en-US"/>
        </w:rPr>
        <w:t>.</w:t>
      </w:r>
    </w:p>
    <w:p w14:paraId="4D823DB0" w14:textId="7D5F2452" w:rsidR="00D6763D" w:rsidRPr="00D6763D" w:rsidRDefault="00A3589D" w:rsidP="00D6763D">
      <w:pPr>
        <w:pStyle w:val="ListParagraph"/>
        <w:widowControl w:val="0"/>
        <w:numPr>
          <w:ilvl w:val="1"/>
          <w:numId w:val="10"/>
        </w:numPr>
        <w:autoSpaceDE w:val="0"/>
        <w:autoSpaceDN w:val="0"/>
        <w:adjustRightInd w:val="0"/>
        <w:spacing w:after="60" w:line="240" w:lineRule="auto"/>
        <w:ind w:left="426"/>
        <w:jc w:val="both"/>
        <w:rPr>
          <w:color w:val="000000"/>
          <w:w w:val="102"/>
          <w:szCs w:val="20"/>
        </w:rPr>
      </w:pPr>
      <w:r w:rsidRPr="00A3589D">
        <w:rPr>
          <w:color w:val="000000"/>
          <w:w w:val="102"/>
          <w:szCs w:val="20"/>
          <w:lang w:val="en-US"/>
        </w:rPr>
        <w:t xml:space="preserve">Opini Audit </w:t>
      </w:r>
      <w:r w:rsidRPr="00A3589D">
        <w:rPr>
          <w:i/>
          <w:iCs/>
          <w:color w:val="000000"/>
          <w:w w:val="102"/>
          <w:szCs w:val="20"/>
          <w:lang w:val="en-US"/>
        </w:rPr>
        <w:t>Going Concern</w:t>
      </w:r>
    </w:p>
    <w:bookmarkEnd w:id="0"/>
    <w:p w14:paraId="083BD42D" w14:textId="77777777" w:rsidR="00A3589D" w:rsidRPr="00A3589D" w:rsidRDefault="00A3589D" w:rsidP="00A3589D">
      <w:pPr>
        <w:tabs>
          <w:tab w:val="left" w:pos="540"/>
        </w:tabs>
        <w:spacing w:after="0"/>
        <w:ind w:left="425" w:firstLine="284"/>
        <w:jc w:val="both"/>
        <w:rPr>
          <w:szCs w:val="24"/>
        </w:rPr>
      </w:pPr>
      <w:r w:rsidRPr="00A3589D">
        <w:rPr>
          <w:szCs w:val="24"/>
        </w:rPr>
        <w:t xml:space="preserve">Dalam melakukan penugasan umum, auditor ditugasi memberikan opini atas laporan keuangan perusahaan. Opini yang diberikan merupakan pernyataan kewajaran, dalam semua hal yang material, posisi keuangan dan hasil usaha dari arus kas sesuai dengan prinsip akuntansi berterima umum. Auditor dalam memberikan pendapat atau opini auditnya harus melalui beberapa tahapan. Ini dimaksudkan agar auditor dapat memberikan kesimpulan mengenai opini yang harus diberikan atas laporan keuangan yang diauditnya. Auditor dituntut tidak hanya melihat hal-hal yang ada dalam laporan keuangan saja tetapi juga </w:t>
      </w:r>
      <w:r w:rsidRPr="00A3589D">
        <w:rPr>
          <w:szCs w:val="24"/>
        </w:rPr>
        <w:lastRenderedPageBreak/>
        <w:t>mewaspadai hal-hal potensial yang dapat mengganggu kelangsungan hidup (going concern) suatu perusahaan.</w:t>
      </w:r>
    </w:p>
    <w:p w14:paraId="7A476FE7" w14:textId="77777777" w:rsidR="00A3589D" w:rsidRPr="00A3589D" w:rsidRDefault="00A3589D" w:rsidP="00A3589D">
      <w:pPr>
        <w:tabs>
          <w:tab w:val="left" w:pos="540"/>
        </w:tabs>
        <w:spacing w:after="0"/>
        <w:ind w:left="425" w:firstLine="284"/>
        <w:jc w:val="both"/>
        <w:rPr>
          <w:szCs w:val="24"/>
        </w:rPr>
      </w:pPr>
      <w:r w:rsidRPr="00A3589D">
        <w:rPr>
          <w:szCs w:val="24"/>
        </w:rPr>
        <w:t>Opini audit going concern merupakan opini yang dikeluarkan auditor setelah menganalisis kemampuan perusahaan dalam mempertahankan kelangsungan hidupnya (SPAP, 2016). Opini audit going concern merupakan opini yang dikeluarkan oleh auditor untuk memastikan apakah perusahaan dapat mempertahankan kelangsungan hidupnya. Perusahaan akan menerima opini audit going concern jika terdapat kesangsian mengenai perusahaan dalam mempertahankan kelangsungan hidupnya (MILA 2022; Sasongko, Mulyaningsih, dan ... 2020; Savitri dan Mahendra 2018; Setiawan 2016)</w:t>
      </w:r>
    </w:p>
    <w:p w14:paraId="6641C323" w14:textId="20110D22" w:rsidR="007F6E93" w:rsidRDefault="00A3589D" w:rsidP="00A3589D">
      <w:pPr>
        <w:spacing w:after="0"/>
        <w:ind w:left="1134" w:hanging="708"/>
        <w:jc w:val="both"/>
        <w:rPr>
          <w:szCs w:val="24"/>
        </w:rPr>
      </w:pPr>
      <w:r w:rsidRPr="00A3589D">
        <w:rPr>
          <w:szCs w:val="24"/>
        </w:rPr>
        <w:t>H</w:t>
      </w:r>
      <w:proofErr w:type="gramStart"/>
      <w:r w:rsidRPr="00A3589D">
        <w:rPr>
          <w:szCs w:val="24"/>
        </w:rPr>
        <w:t>1 :</w:t>
      </w:r>
      <w:proofErr w:type="gramEnd"/>
      <w:r w:rsidRPr="00A3589D">
        <w:rPr>
          <w:szCs w:val="24"/>
        </w:rPr>
        <w:t xml:space="preserve"> Ukuran Perusahaan, Debt Default, Kondisi Keuangan ,Pertumbuhan Perusahaan dan Leverage berpengaruh terhadap Penerimaan Opini Audit Going Concern Pada Perusahaan Sub Sektor Perkebunan Yang Terdaftar di Bursa Efek Indonesia</w:t>
      </w:r>
      <w:r w:rsidR="007F6E93" w:rsidRPr="007F6E93">
        <w:rPr>
          <w:szCs w:val="24"/>
        </w:rPr>
        <w:t>.</w:t>
      </w:r>
    </w:p>
    <w:p w14:paraId="0E901A18" w14:textId="34F69C56" w:rsidR="00A3589D" w:rsidRDefault="007A2F67" w:rsidP="00A3589D">
      <w:pPr>
        <w:spacing w:after="0"/>
        <w:jc w:val="both"/>
        <w:rPr>
          <w:szCs w:val="24"/>
        </w:rPr>
      </w:pPr>
      <w:r>
        <w:rPr>
          <w:szCs w:val="24"/>
        </w:rPr>
        <w:t xml:space="preserve">2.3 </w:t>
      </w:r>
      <w:r w:rsidRPr="007A2F67">
        <w:rPr>
          <w:szCs w:val="24"/>
        </w:rPr>
        <w:t>Ukuran Perusahaan</w:t>
      </w:r>
    </w:p>
    <w:p w14:paraId="73D85141" w14:textId="24886E6C" w:rsidR="007A2F67" w:rsidRDefault="007A2F67" w:rsidP="00A3589D">
      <w:pPr>
        <w:spacing w:after="0"/>
        <w:jc w:val="both"/>
        <w:rPr>
          <w:szCs w:val="24"/>
        </w:rPr>
      </w:pPr>
      <w:r w:rsidRPr="007A2F67">
        <w:rPr>
          <w:szCs w:val="24"/>
        </w:rPr>
        <w:t xml:space="preserve">Ukuran perusahaan adalah peningkatan dari kenyataan bahwa perusahaan besar akan memiliki kapitalisasi pasar yang besar, nilai buku yang besar dan laba yang tinggi (Mahatma Dewi dan Wirajaya, 2013). Sedangkan pada perusahaan kecil akan memiliki kapitalisasi pasar yang kecil, nilai buku yang kecil dan laba yang rendah. Ukuran perusahaan mempunyai pengaruh yang berbeda terhadap nilai perusahaan suatu perusahaan. Dalam hal ukuran perusahaan dilihat dari total asset yang dimiliki oleh perusahaan, yang dapat dipergunakan untuk kegiatan operasi perusahaan. Jika perusahaan memiliki total asset yang besar, pihak manajemen lebih leluasa dalam mempergunakan asset yang ada diperusahaan tersebut. Kebebasan yang dimiliki manajemen ini sebanding dengan kekhawatiran yang dilakukan oleh pemilik atas </w:t>
      </w:r>
      <w:proofErr w:type="gramStart"/>
      <w:r w:rsidRPr="007A2F67">
        <w:rPr>
          <w:szCs w:val="24"/>
        </w:rPr>
        <w:t>asetnya .Jumlah</w:t>
      </w:r>
      <w:proofErr w:type="gramEnd"/>
      <w:r w:rsidRPr="007A2F67">
        <w:rPr>
          <w:szCs w:val="24"/>
        </w:rPr>
        <w:t xml:space="preserve"> asset yang besar akan menurunkan nilai perusahaan jika dinilai dari sisi pemilik perusahaan. Akan tetapi jika dilihat dari sisi manajemen, kemudahan yang dimilikinya dalam mengendalikan perusahaan akan meningkatkan nilai perusahaan (Asmarani et al. 2019; Meliyana dan Kusumawati 2022; Siallagan, Silalahi, dan Hayati 2020)</w:t>
      </w:r>
      <w:r>
        <w:rPr>
          <w:szCs w:val="24"/>
        </w:rPr>
        <w:t>.</w:t>
      </w:r>
    </w:p>
    <w:p w14:paraId="2100EE71" w14:textId="077E8BF6" w:rsidR="007A2F67" w:rsidRDefault="007A2F67" w:rsidP="007A2F67">
      <w:pPr>
        <w:spacing w:after="0"/>
        <w:ind w:left="709" w:hanging="709"/>
        <w:jc w:val="both"/>
        <w:rPr>
          <w:szCs w:val="24"/>
        </w:rPr>
      </w:pPr>
      <w:r w:rsidRPr="007A2F67">
        <w:rPr>
          <w:szCs w:val="24"/>
        </w:rPr>
        <w:t>H</w:t>
      </w:r>
      <w:proofErr w:type="gramStart"/>
      <w:r w:rsidRPr="007A2F67">
        <w:rPr>
          <w:szCs w:val="24"/>
        </w:rPr>
        <w:t>2 :</w:t>
      </w:r>
      <w:proofErr w:type="gramEnd"/>
      <w:r w:rsidRPr="007A2F67">
        <w:rPr>
          <w:szCs w:val="24"/>
        </w:rPr>
        <w:t xml:space="preserve"> Ukuran Perusahaan berpengaruh terhadap Penerimaan Opini Audit Going Concern Pada Perusahaan Sub Sektor Perkebunan Yang Terdaftar di Bursa Efek Indonesia</w:t>
      </w:r>
    </w:p>
    <w:p w14:paraId="1CCC1B89" w14:textId="678952A1" w:rsidR="007A2F67" w:rsidRDefault="007A2F67" w:rsidP="007A2F67">
      <w:pPr>
        <w:spacing w:after="0"/>
        <w:ind w:left="709" w:hanging="709"/>
        <w:jc w:val="both"/>
        <w:rPr>
          <w:szCs w:val="24"/>
        </w:rPr>
      </w:pPr>
      <w:r>
        <w:rPr>
          <w:szCs w:val="24"/>
        </w:rPr>
        <w:t xml:space="preserve">2.4 </w:t>
      </w:r>
      <w:r w:rsidRPr="007A2F67">
        <w:rPr>
          <w:i/>
          <w:iCs/>
          <w:szCs w:val="24"/>
        </w:rPr>
        <w:t>Debt Default</w:t>
      </w:r>
    </w:p>
    <w:p w14:paraId="282B137A" w14:textId="77777777" w:rsidR="007A2F67" w:rsidRPr="007A2F67" w:rsidRDefault="007A2F67" w:rsidP="007A2F67">
      <w:pPr>
        <w:spacing w:after="0"/>
        <w:jc w:val="both"/>
        <w:rPr>
          <w:szCs w:val="24"/>
        </w:rPr>
      </w:pPr>
      <w:r w:rsidRPr="007A2F67">
        <w:rPr>
          <w:szCs w:val="24"/>
        </w:rPr>
        <w:t xml:space="preserve">Debt default merupakan kegagalan debitor (perusahaan) untuk membayar hutang pokoknya atau bunganya pada waktu jatuh tempo (Chean dan Church,1992) </w:t>
      </w:r>
      <w:proofErr w:type="gramStart"/>
      <w:r w:rsidRPr="007A2F67">
        <w:rPr>
          <w:szCs w:val="24"/>
        </w:rPr>
        <w:t>dalam  (</w:t>
      </w:r>
      <w:proofErr w:type="gramEnd"/>
      <w:r w:rsidRPr="007A2F67">
        <w:rPr>
          <w:szCs w:val="24"/>
        </w:rPr>
        <w:t>Liliani 2021; Suryani 2020). Debt default adalah suatu keadaan ketika debitur (perusahaan) mengalami kegagalan dalam melunasi atau membayar hutang atau kewajibannya hingga bunganya dalam jatuh tempo. Status hutang suatu perusahaan merupakan salah satu hal yang diteliti oleh auditor dalam mengukur kondisi keuangan suatu perusahaan (Achyarsyah, 2016). Penelitian oleh Harris (2015) menemukan bahwa debt default dapat mempengaruhi penerimaan opini audit going concern secara positif. Ini berarti bahwa perusahaan yang mendapat status debt default dapat cenderung menerima opini audit going concern (Manisha 2022).</w:t>
      </w:r>
    </w:p>
    <w:p w14:paraId="1A33E96B" w14:textId="44A3FE95" w:rsidR="007A2F67" w:rsidRDefault="007A2F67" w:rsidP="007A2F67">
      <w:pPr>
        <w:spacing w:after="0"/>
        <w:ind w:left="426" w:hanging="426"/>
        <w:jc w:val="both"/>
        <w:rPr>
          <w:szCs w:val="24"/>
        </w:rPr>
      </w:pPr>
      <w:r w:rsidRPr="007A2F67">
        <w:rPr>
          <w:szCs w:val="24"/>
        </w:rPr>
        <w:t>H</w:t>
      </w:r>
      <w:proofErr w:type="gramStart"/>
      <w:r w:rsidRPr="007A2F67">
        <w:rPr>
          <w:szCs w:val="24"/>
        </w:rPr>
        <w:t>3 :</w:t>
      </w:r>
      <w:proofErr w:type="gramEnd"/>
      <w:r w:rsidRPr="007A2F67">
        <w:rPr>
          <w:szCs w:val="24"/>
        </w:rPr>
        <w:t xml:space="preserve"> Debt Default berpengaruh terhadap Penerimaan Opini Audit Going Concern Pada Perusahaan Sub Sektor Perkebunan Yang Terdaftar di Bursa Efek Indonesia</w:t>
      </w:r>
    </w:p>
    <w:p w14:paraId="626A802E" w14:textId="49AB6C09" w:rsidR="007A2F67" w:rsidRDefault="007A2F67" w:rsidP="007A2F67">
      <w:pPr>
        <w:spacing w:after="0"/>
        <w:ind w:left="426" w:hanging="426"/>
        <w:jc w:val="both"/>
        <w:rPr>
          <w:szCs w:val="24"/>
        </w:rPr>
      </w:pPr>
      <w:r>
        <w:rPr>
          <w:szCs w:val="24"/>
        </w:rPr>
        <w:t xml:space="preserve">2.4 </w:t>
      </w:r>
      <w:r w:rsidRPr="007A2F67">
        <w:rPr>
          <w:szCs w:val="24"/>
        </w:rPr>
        <w:t>Kondisi Keuangan Perusahaan</w:t>
      </w:r>
    </w:p>
    <w:p w14:paraId="505C7A33" w14:textId="663975A6" w:rsidR="007A2F67" w:rsidRDefault="007A2F67" w:rsidP="007A2F67">
      <w:pPr>
        <w:spacing w:after="0"/>
        <w:jc w:val="both"/>
        <w:rPr>
          <w:szCs w:val="24"/>
        </w:rPr>
      </w:pPr>
      <w:r w:rsidRPr="007A2F67">
        <w:rPr>
          <w:szCs w:val="24"/>
        </w:rPr>
        <w:t>Analisis keuangan yang mencakup analisis rasio keuangan, analisis kelemahan dan kekuatan dibidang financial akan sangat membantu dalam menilai presentasi manajemen masa lalu dan prospeknya di masa yang akan datang. Dengan analisis keuangan ini dapat diketahui kekuatan serta kelemahan yang dimiliki oleh perusahaan. Rasio tersebut dapat memberikan indikasi apakah perusahaan memiliki kas yang cukup memadai untuk memenuhi kewajiban financialnya, besarnya piutang cukup rasional, efesiensi manajemen persediaan, perencanaan pengeluaran investasi yang baik, dan struktur modal yang sehat sehingga tujuan memaksimalkan kemakmuran pemegang saham dapat dicapai (Oktaviana dan Trisnawati 2021; Taufan dan Wenny 2022)</w:t>
      </w:r>
    </w:p>
    <w:p w14:paraId="45634470" w14:textId="500286D8" w:rsidR="00E2034E" w:rsidRDefault="00E2034E" w:rsidP="00E2034E">
      <w:pPr>
        <w:spacing w:after="0"/>
        <w:ind w:left="426" w:hanging="426"/>
        <w:jc w:val="both"/>
        <w:rPr>
          <w:szCs w:val="24"/>
        </w:rPr>
      </w:pPr>
      <w:r w:rsidRPr="00E2034E">
        <w:rPr>
          <w:szCs w:val="24"/>
        </w:rPr>
        <w:t>H</w:t>
      </w:r>
      <w:proofErr w:type="gramStart"/>
      <w:r>
        <w:rPr>
          <w:szCs w:val="24"/>
        </w:rPr>
        <w:t>4</w:t>
      </w:r>
      <w:r w:rsidRPr="00E2034E">
        <w:rPr>
          <w:szCs w:val="24"/>
        </w:rPr>
        <w:t xml:space="preserve"> :</w:t>
      </w:r>
      <w:proofErr w:type="gramEnd"/>
      <w:r w:rsidRPr="00E2034E">
        <w:rPr>
          <w:szCs w:val="24"/>
        </w:rPr>
        <w:t xml:space="preserve"> </w:t>
      </w:r>
      <w:r>
        <w:rPr>
          <w:szCs w:val="24"/>
        </w:rPr>
        <w:t>Kondisi keuangan</w:t>
      </w:r>
      <w:r w:rsidRPr="00E2034E">
        <w:rPr>
          <w:szCs w:val="24"/>
        </w:rPr>
        <w:t xml:space="preserve"> berpengaruh terhadap Penerimaan Opini Audit Going Concern Pada Perusahaan Sub Sektor Perkebunan Yang Terdaftar di Bursa Efek Indonesia</w:t>
      </w:r>
    </w:p>
    <w:p w14:paraId="0BFBE0D7" w14:textId="46F215B5" w:rsidR="00E2034E" w:rsidRDefault="00E2034E" w:rsidP="00E2034E">
      <w:pPr>
        <w:spacing w:after="0"/>
        <w:ind w:left="426" w:hanging="426"/>
        <w:jc w:val="both"/>
        <w:rPr>
          <w:szCs w:val="24"/>
        </w:rPr>
      </w:pPr>
      <w:r>
        <w:rPr>
          <w:szCs w:val="24"/>
        </w:rPr>
        <w:t xml:space="preserve">2.5 </w:t>
      </w:r>
      <w:r w:rsidRPr="00E2034E">
        <w:rPr>
          <w:szCs w:val="24"/>
        </w:rPr>
        <w:t>Pertumbuhan Perusahaan</w:t>
      </w:r>
    </w:p>
    <w:p w14:paraId="5037A71B" w14:textId="380E00DF" w:rsidR="00E2034E" w:rsidRDefault="00E2034E" w:rsidP="00E2034E">
      <w:pPr>
        <w:spacing w:after="0"/>
        <w:ind w:firstLine="425"/>
        <w:jc w:val="both"/>
        <w:rPr>
          <w:szCs w:val="24"/>
        </w:rPr>
      </w:pPr>
      <w:r w:rsidRPr="00E2034E">
        <w:rPr>
          <w:szCs w:val="24"/>
        </w:rPr>
        <w:t xml:space="preserve">Pertumbuhan perusahaan merupakan salah satu faktor yang dapat mempengaruhi kreditur untuk memberikan pinjaman. Pertumbuhan perusahaan dapat digunakan untuk menilai prospek masa depan. Perusahaan dengan pertumbuhan yang tinggi cenderung memiliki kinerja yang baik sehingga kemungkinan tidak dapat melunasi pinjaman kecil. Pertumbuhan perusahaan adalah dampak atas arus dana perusahaan dari perubahan operasional yang disebabkan oleh pertumbuhan atau peningkatan volume usaha. Pertumbuhan perusahaan juga </w:t>
      </w:r>
      <w:r w:rsidRPr="00E2034E">
        <w:rPr>
          <w:szCs w:val="24"/>
        </w:rPr>
        <w:lastRenderedPageBreak/>
        <w:t>merupakan kemampuan perusahaan untuk meningkatkan size dan dapat menunjukkan kinerja keuangan perusahaan (Clarensi 2021; Megantara 2021)</w:t>
      </w:r>
    </w:p>
    <w:p w14:paraId="5BE82CF9" w14:textId="1EBBA03C" w:rsidR="00E2034E" w:rsidRDefault="00E2034E" w:rsidP="00E2034E">
      <w:pPr>
        <w:spacing w:after="0"/>
        <w:ind w:left="426" w:hanging="426"/>
        <w:jc w:val="both"/>
        <w:rPr>
          <w:szCs w:val="24"/>
        </w:rPr>
      </w:pPr>
      <w:r w:rsidRPr="00E2034E">
        <w:rPr>
          <w:szCs w:val="24"/>
        </w:rPr>
        <w:t>H</w:t>
      </w:r>
      <w:proofErr w:type="gramStart"/>
      <w:r>
        <w:rPr>
          <w:szCs w:val="24"/>
        </w:rPr>
        <w:t>5</w:t>
      </w:r>
      <w:r w:rsidRPr="00E2034E">
        <w:rPr>
          <w:szCs w:val="24"/>
        </w:rPr>
        <w:t xml:space="preserve"> :</w:t>
      </w:r>
      <w:proofErr w:type="gramEnd"/>
      <w:r w:rsidRPr="00E2034E">
        <w:rPr>
          <w:szCs w:val="24"/>
        </w:rPr>
        <w:t xml:space="preserve"> </w:t>
      </w:r>
      <w:r>
        <w:rPr>
          <w:szCs w:val="24"/>
        </w:rPr>
        <w:t>Pertumbuhan perusahaan</w:t>
      </w:r>
      <w:r w:rsidRPr="00E2034E">
        <w:rPr>
          <w:szCs w:val="24"/>
        </w:rPr>
        <w:t xml:space="preserve"> berpengaruh terhadap Penerimaan Opini Audit Going Concern Pada Perusahaan Sub Sektor Perkebunan Yang Terdaftar di Bursa Efek Indonesia</w:t>
      </w:r>
    </w:p>
    <w:p w14:paraId="0C444634" w14:textId="251295DD" w:rsidR="00E2034E" w:rsidRDefault="00E2034E" w:rsidP="00E2034E">
      <w:pPr>
        <w:spacing w:after="0"/>
        <w:jc w:val="both"/>
        <w:rPr>
          <w:szCs w:val="24"/>
        </w:rPr>
      </w:pPr>
      <w:r>
        <w:rPr>
          <w:szCs w:val="24"/>
        </w:rPr>
        <w:t>2.6</w:t>
      </w:r>
      <w:r w:rsidRPr="00E2034E">
        <w:rPr>
          <w:i/>
          <w:iCs/>
          <w:szCs w:val="24"/>
        </w:rPr>
        <w:t xml:space="preserve"> Leverage</w:t>
      </w:r>
    </w:p>
    <w:p w14:paraId="550BF455" w14:textId="3F846931" w:rsidR="00E2034E" w:rsidRDefault="00E2034E" w:rsidP="00E2034E">
      <w:pPr>
        <w:spacing w:after="0"/>
        <w:jc w:val="both"/>
        <w:rPr>
          <w:szCs w:val="24"/>
        </w:rPr>
      </w:pPr>
      <w:r w:rsidRPr="00E2034E">
        <w:rPr>
          <w:szCs w:val="24"/>
        </w:rPr>
        <w:t xml:space="preserve">Leverage merupakan alat ukur untuk dapat mendeteksi kemampuan perusahaan dalam memenuhi kewajibannya baik dalam jangka waktu 1 tahun maupun lebih. Leverage dapat diukur menggunakan debt to asset ratio (DAR) yang diperoleh dari membandingkan antara total kewajiban dan total asset maupun dengan debt to equity ratio (DER) yang diperoleh dengan membandingkan antara total kewajiban dan total ekuitas perusahaan. Apabila nilai hutang yang dimiliki perusahaan melebihi jumlah asetnya menunjukkan kondisi yang tidak baik karena muncul dugaan bahwa perusahaan akan menghadapi masalah dalam membayar hutang yang dimiliki. Semakin tinggi nilai debt to asset ratio (DAR) menunjukkan bahwa perusahaan mengalami kinerja yang buruk yang dapat menyebabkan ketidakpastian tentang keberlangsungan hidupnya dan semakin besar peluang memperoleh opini audit going concern. Argumentasi tersebut sejalan dengan penelitian Firdaus (2017) bahwa DAR memiliki hubungan positif dengan opini audit going concern yang diterima perusahaan. Penggunaan proksi debt to equity ratio (DER) sebagai proksi leverage yang menunjukkan DER tidak memiliki hubungan dengan opini audit going concern, sedangkan </w:t>
      </w:r>
      <w:proofErr w:type="gramStart"/>
      <w:r w:rsidRPr="00E2034E">
        <w:rPr>
          <w:szCs w:val="24"/>
        </w:rPr>
        <w:t>penelitian  menemukan</w:t>
      </w:r>
      <w:proofErr w:type="gramEnd"/>
      <w:r w:rsidRPr="00E2034E">
        <w:rPr>
          <w:szCs w:val="24"/>
        </w:rPr>
        <w:t xml:space="preserve"> hubungan positif rasio debt default dengan penerimaan opini audit (Halim 2019; Safitri 2018)</w:t>
      </w:r>
    </w:p>
    <w:p w14:paraId="18F50BBC" w14:textId="1E402EF2" w:rsidR="00E2034E" w:rsidRPr="00E2034E" w:rsidRDefault="00E2034E" w:rsidP="00E2034E">
      <w:pPr>
        <w:spacing w:after="0"/>
        <w:ind w:left="426" w:hanging="426"/>
        <w:jc w:val="both"/>
        <w:rPr>
          <w:szCs w:val="24"/>
        </w:rPr>
      </w:pPr>
      <w:r w:rsidRPr="00E2034E">
        <w:rPr>
          <w:szCs w:val="24"/>
        </w:rPr>
        <w:t>H</w:t>
      </w:r>
      <w:proofErr w:type="gramStart"/>
      <w:r>
        <w:rPr>
          <w:szCs w:val="24"/>
        </w:rPr>
        <w:t>6</w:t>
      </w:r>
      <w:r w:rsidRPr="00E2034E">
        <w:rPr>
          <w:szCs w:val="24"/>
        </w:rPr>
        <w:t xml:space="preserve"> :</w:t>
      </w:r>
      <w:proofErr w:type="gramEnd"/>
      <w:r w:rsidRPr="00E2034E">
        <w:rPr>
          <w:szCs w:val="24"/>
        </w:rPr>
        <w:t xml:space="preserve"> </w:t>
      </w:r>
      <w:r>
        <w:rPr>
          <w:i/>
          <w:iCs/>
          <w:szCs w:val="24"/>
        </w:rPr>
        <w:t xml:space="preserve">Leverage </w:t>
      </w:r>
      <w:r w:rsidRPr="00E2034E">
        <w:rPr>
          <w:szCs w:val="24"/>
        </w:rPr>
        <w:t>berpengaruh terhadap Penerimaan Opini Audit Going Concern Pada Perusahaan Sub Sektor Perkebunan Yang Terdaftar di Bursa Efek Indonesia</w:t>
      </w:r>
    </w:p>
    <w:p w14:paraId="50B257E3" w14:textId="7893F72E" w:rsidR="00D6763D" w:rsidRDefault="00D6763D" w:rsidP="00E2034E">
      <w:pPr>
        <w:numPr>
          <w:ilvl w:val="0"/>
          <w:numId w:val="1"/>
        </w:numPr>
        <w:autoSpaceDE w:val="0"/>
        <w:autoSpaceDN w:val="0"/>
        <w:adjustRightInd w:val="0"/>
        <w:spacing w:after="0" w:line="240" w:lineRule="auto"/>
        <w:ind w:left="425" w:hanging="425"/>
        <w:jc w:val="both"/>
        <w:rPr>
          <w:b/>
          <w:szCs w:val="20"/>
        </w:rPr>
      </w:pPr>
      <w:r w:rsidRPr="00D6763D">
        <w:rPr>
          <w:b/>
          <w:szCs w:val="20"/>
        </w:rPr>
        <w:t>Metode Penelitian</w:t>
      </w:r>
    </w:p>
    <w:p w14:paraId="5F7EA35C" w14:textId="708BD6FB" w:rsidR="00A94360" w:rsidRPr="00A94360" w:rsidRDefault="00A94360" w:rsidP="00A94360">
      <w:pPr>
        <w:autoSpaceDE w:val="0"/>
        <w:autoSpaceDN w:val="0"/>
        <w:adjustRightInd w:val="0"/>
        <w:spacing w:after="0" w:line="240" w:lineRule="auto"/>
        <w:ind w:left="425"/>
        <w:jc w:val="both"/>
        <w:rPr>
          <w:bCs/>
          <w:szCs w:val="20"/>
        </w:rPr>
      </w:pPr>
      <w:r w:rsidRPr="00A94360">
        <w:rPr>
          <w:bCs/>
          <w:szCs w:val="20"/>
        </w:rPr>
        <w:t>Jenis penelitian ini adalah penelitian kuantitatif deskriptif dengan metode survey.  (Digdowiseiso 2017; Rukminingsih, Adnan, dan Latief 2020) metode deskriptif yaitu metode-metode penelitian yang memusatkan perhatian pada masalah-masalah atau fenomena yang bersifat aktual pada saat penelitian dilakukan, kemudian menggambarkan fakta-fakta tentang masalah yang diselidiki sebagaimana adanya diiringi dengan interprestasi yang rasional dan akurat</w:t>
      </w:r>
    </w:p>
    <w:p w14:paraId="64E276FB" w14:textId="77777777" w:rsidR="00D6763D" w:rsidRPr="00D6763D" w:rsidRDefault="00D6763D" w:rsidP="00E2034E">
      <w:pPr>
        <w:pStyle w:val="ListParagraph"/>
        <w:numPr>
          <w:ilvl w:val="0"/>
          <w:numId w:val="10"/>
        </w:numPr>
        <w:autoSpaceDE w:val="0"/>
        <w:autoSpaceDN w:val="0"/>
        <w:adjustRightInd w:val="0"/>
        <w:spacing w:after="0" w:line="240" w:lineRule="auto"/>
        <w:jc w:val="both"/>
        <w:rPr>
          <w:b/>
          <w:i/>
          <w:vanish/>
          <w:szCs w:val="20"/>
          <w:lang w:val="en-US"/>
        </w:rPr>
      </w:pPr>
    </w:p>
    <w:p w14:paraId="5EFB5B04" w14:textId="26C76D59" w:rsidR="00D6763D" w:rsidRPr="00D6763D" w:rsidRDefault="00A94360" w:rsidP="00E2034E">
      <w:pPr>
        <w:pStyle w:val="ListParagraph"/>
        <w:widowControl w:val="0"/>
        <w:numPr>
          <w:ilvl w:val="1"/>
          <w:numId w:val="10"/>
        </w:numPr>
        <w:autoSpaceDE w:val="0"/>
        <w:autoSpaceDN w:val="0"/>
        <w:adjustRightInd w:val="0"/>
        <w:spacing w:after="0" w:line="240" w:lineRule="auto"/>
        <w:ind w:left="426"/>
        <w:jc w:val="both"/>
        <w:rPr>
          <w:color w:val="000000"/>
          <w:w w:val="102"/>
          <w:szCs w:val="20"/>
        </w:rPr>
      </w:pPr>
      <w:r w:rsidRPr="00A94360">
        <w:rPr>
          <w:color w:val="000000"/>
          <w:w w:val="102"/>
          <w:szCs w:val="20"/>
          <w:lang w:val="en-US"/>
        </w:rPr>
        <w:t>Lokasi dan Objek Penelitian</w:t>
      </w:r>
    </w:p>
    <w:p w14:paraId="6BDF8E81" w14:textId="31AA738A" w:rsidR="00D6763D" w:rsidRPr="00D6763D" w:rsidRDefault="00A94360" w:rsidP="00A94360">
      <w:pPr>
        <w:pStyle w:val="ListParagraph"/>
        <w:spacing w:after="0"/>
        <w:ind w:left="0" w:firstLine="426"/>
        <w:jc w:val="both"/>
        <w:rPr>
          <w:szCs w:val="20"/>
        </w:rPr>
      </w:pPr>
      <w:r w:rsidRPr="00A94360">
        <w:rPr>
          <w:szCs w:val="20"/>
        </w:rPr>
        <w:t xml:space="preserve">Dalam penelitian ini objek yang diteliti adalah pengendalian ukuran perusahaan, debt default, kondisi </w:t>
      </w:r>
      <w:r w:rsidRPr="00A94360">
        <w:rPr>
          <w:szCs w:val="20"/>
        </w:rPr>
        <w:t>keuangan pertumbuhan perusahaan dan Leverage terhadap penerimaan opini audit going concern (Studi empiris pada perusahaan sub sektor perkebunan yang terdaftar di Bursa Efek Indonesia periode 2016-2020).</w:t>
      </w:r>
      <w:r w:rsidR="00D6763D" w:rsidRPr="00D6763D">
        <w:rPr>
          <w:szCs w:val="20"/>
        </w:rPr>
        <w:t xml:space="preserve">Paragraph text/ Tables Figures etc. </w:t>
      </w:r>
    </w:p>
    <w:p w14:paraId="6F4DA503" w14:textId="5EC746BA" w:rsidR="00D6763D" w:rsidRPr="00D6763D" w:rsidRDefault="00A94360" w:rsidP="00E2034E">
      <w:pPr>
        <w:pStyle w:val="ListParagraph"/>
        <w:widowControl w:val="0"/>
        <w:numPr>
          <w:ilvl w:val="1"/>
          <w:numId w:val="10"/>
        </w:numPr>
        <w:autoSpaceDE w:val="0"/>
        <w:autoSpaceDN w:val="0"/>
        <w:adjustRightInd w:val="0"/>
        <w:spacing w:after="0" w:line="240" w:lineRule="auto"/>
        <w:ind w:left="426"/>
        <w:jc w:val="both"/>
        <w:rPr>
          <w:color w:val="000000"/>
          <w:w w:val="102"/>
          <w:szCs w:val="20"/>
        </w:rPr>
      </w:pPr>
      <w:r w:rsidRPr="00A94360">
        <w:rPr>
          <w:color w:val="000000"/>
          <w:w w:val="102"/>
          <w:szCs w:val="20"/>
        </w:rPr>
        <w:t>Populasi dan Sampel</w:t>
      </w:r>
    </w:p>
    <w:p w14:paraId="10C05011" w14:textId="7166C045" w:rsidR="00D6763D" w:rsidRDefault="00F7363C" w:rsidP="00F7363C">
      <w:pPr>
        <w:pStyle w:val="ListParagraph"/>
        <w:ind w:left="0"/>
        <w:jc w:val="both"/>
        <w:rPr>
          <w:szCs w:val="20"/>
        </w:rPr>
      </w:pPr>
      <w:r w:rsidRPr="00F7363C">
        <w:rPr>
          <w:szCs w:val="20"/>
        </w:rPr>
        <w:t>Populasi adalah keseluruhan elemen yang akan dijadikan obyek dalam suatu penelitian. Populasi adalah wilayah generalisasi yang terdiri dari obyek/subyek yang mempunyai kualitas dan karakteristik tertentu yang ditetapkan oleh peneliti untuk dipelajari dan kemudian ditarik kesimpulannya (Sugiyono 2018). Populasi dalam penelitian ini adalah perusahaan perkebunan yang terdaftar di BEI periode 2016-2020</w:t>
      </w:r>
      <w:r w:rsidR="00D6763D" w:rsidRPr="00D6763D">
        <w:rPr>
          <w:szCs w:val="20"/>
        </w:rPr>
        <w:t xml:space="preserve">. </w:t>
      </w:r>
    </w:p>
    <w:p w14:paraId="2EFE2F42" w14:textId="405086E6" w:rsidR="00F7363C" w:rsidRPr="00F7363C" w:rsidRDefault="00F7363C" w:rsidP="00F7363C">
      <w:pPr>
        <w:pStyle w:val="ListParagraph"/>
        <w:spacing w:after="0"/>
        <w:ind w:left="0"/>
        <w:jc w:val="both"/>
        <w:rPr>
          <w:szCs w:val="20"/>
        </w:rPr>
      </w:pPr>
      <w:r>
        <w:rPr>
          <w:szCs w:val="20"/>
          <w:lang w:val="en-US"/>
        </w:rPr>
        <w:t xml:space="preserve">3.4 </w:t>
      </w:r>
      <w:r w:rsidRPr="00F7363C">
        <w:rPr>
          <w:szCs w:val="20"/>
        </w:rPr>
        <w:t>Teknik Analisis Data</w:t>
      </w:r>
    </w:p>
    <w:p w14:paraId="6867BA7C" w14:textId="77777777" w:rsidR="00F7363C" w:rsidRPr="00F7363C" w:rsidRDefault="00F7363C" w:rsidP="00F7363C">
      <w:pPr>
        <w:pStyle w:val="ListParagraph"/>
        <w:spacing w:after="0"/>
        <w:ind w:left="0"/>
        <w:jc w:val="both"/>
        <w:rPr>
          <w:szCs w:val="20"/>
        </w:rPr>
      </w:pPr>
      <w:r w:rsidRPr="00F7363C">
        <w:rPr>
          <w:szCs w:val="20"/>
        </w:rPr>
        <w:t>Data dalam penelitian ini dianalisis menggunakan analisis regresi logistik (logistic regression) dengan pengukuran variabel dependen berupa dummy variable, yaitu jika perusahaan tidak mendapatkan opini audit going concern (nilai 0) dan jika perusahaan yang mendapatkan opini audit going concern (nilai 1). Model penelitian dalam persamaan matematis yang diuji adalah sebagai berikut:</w:t>
      </w:r>
    </w:p>
    <w:p w14:paraId="6E6A1A22" w14:textId="77777777" w:rsidR="00F7363C" w:rsidRPr="00F7363C" w:rsidRDefault="00F7363C" w:rsidP="00F7363C">
      <w:pPr>
        <w:pStyle w:val="ListParagraph"/>
        <w:spacing w:after="0"/>
        <w:ind w:left="0"/>
        <w:jc w:val="both"/>
        <w:rPr>
          <w:szCs w:val="20"/>
        </w:rPr>
      </w:pPr>
      <w:r w:rsidRPr="00F7363C">
        <w:rPr>
          <w:szCs w:val="20"/>
        </w:rPr>
        <w:t>Log [(Y/(1-Y)]= β0 + β1(X1) + β2(X2) + β3(X3) + β4(X4) + β5(X5) +e</w:t>
      </w:r>
    </w:p>
    <w:p w14:paraId="77798A8D" w14:textId="77777777" w:rsidR="00F7363C" w:rsidRPr="00F7363C" w:rsidRDefault="00F7363C" w:rsidP="00F7363C">
      <w:pPr>
        <w:pStyle w:val="ListParagraph"/>
        <w:spacing w:after="0"/>
        <w:ind w:left="0"/>
        <w:jc w:val="both"/>
        <w:rPr>
          <w:szCs w:val="20"/>
        </w:rPr>
      </w:pPr>
      <w:r w:rsidRPr="00F7363C">
        <w:rPr>
          <w:szCs w:val="20"/>
        </w:rPr>
        <w:t>Dimana :</w:t>
      </w:r>
    </w:p>
    <w:p w14:paraId="0CC53B56" w14:textId="77777777" w:rsidR="00F7363C" w:rsidRPr="00F7363C" w:rsidRDefault="00F7363C" w:rsidP="00F7363C">
      <w:pPr>
        <w:pStyle w:val="ListParagraph"/>
        <w:spacing w:after="0"/>
        <w:ind w:left="709" w:hanging="709"/>
        <w:jc w:val="both"/>
        <w:rPr>
          <w:szCs w:val="20"/>
        </w:rPr>
      </w:pPr>
      <w:r w:rsidRPr="00F7363C">
        <w:rPr>
          <w:szCs w:val="20"/>
        </w:rPr>
        <w:t xml:space="preserve">Y </w:t>
      </w:r>
      <w:r w:rsidRPr="00F7363C">
        <w:rPr>
          <w:szCs w:val="20"/>
        </w:rPr>
        <w:tab/>
        <w:t>= Opini audit going concern (variable data perusahaan, 1 jika opini audit going concern, 0 jika opini audit non going concern)</w:t>
      </w:r>
    </w:p>
    <w:p w14:paraId="05820C51" w14:textId="727D950B" w:rsidR="00F7363C" w:rsidRPr="00F7363C" w:rsidRDefault="00F7363C" w:rsidP="00F7363C">
      <w:pPr>
        <w:pStyle w:val="ListParagraph"/>
        <w:spacing w:after="0"/>
        <w:ind w:left="709" w:hanging="709"/>
        <w:jc w:val="both"/>
        <w:rPr>
          <w:szCs w:val="20"/>
        </w:rPr>
      </w:pPr>
      <w:r w:rsidRPr="00F7363C">
        <w:rPr>
          <w:szCs w:val="20"/>
        </w:rPr>
        <w:t>β0…. Β5= Konstanta</w:t>
      </w:r>
    </w:p>
    <w:p w14:paraId="691F2A22" w14:textId="77777777" w:rsidR="00F7363C" w:rsidRPr="00F7363C" w:rsidRDefault="00F7363C" w:rsidP="00F7363C">
      <w:pPr>
        <w:pStyle w:val="ListParagraph"/>
        <w:spacing w:after="0"/>
        <w:ind w:left="709" w:hanging="709"/>
        <w:jc w:val="both"/>
        <w:rPr>
          <w:szCs w:val="20"/>
        </w:rPr>
      </w:pPr>
      <w:r w:rsidRPr="00F7363C">
        <w:rPr>
          <w:szCs w:val="20"/>
        </w:rPr>
        <w:t xml:space="preserve">β1X1 </w:t>
      </w:r>
      <w:r w:rsidRPr="00F7363C">
        <w:rPr>
          <w:szCs w:val="20"/>
        </w:rPr>
        <w:tab/>
      </w:r>
      <w:r w:rsidRPr="00F7363C">
        <w:rPr>
          <w:szCs w:val="20"/>
        </w:rPr>
        <w:tab/>
        <w:t>= Ukuran Perusahaan</w:t>
      </w:r>
    </w:p>
    <w:p w14:paraId="6BA048B8" w14:textId="77777777" w:rsidR="00F7363C" w:rsidRPr="00F7363C" w:rsidRDefault="00F7363C" w:rsidP="00F7363C">
      <w:pPr>
        <w:pStyle w:val="ListParagraph"/>
        <w:spacing w:after="0"/>
        <w:ind w:left="709" w:hanging="709"/>
        <w:jc w:val="both"/>
        <w:rPr>
          <w:szCs w:val="20"/>
        </w:rPr>
      </w:pPr>
      <w:r w:rsidRPr="00F7363C">
        <w:rPr>
          <w:szCs w:val="20"/>
        </w:rPr>
        <w:t xml:space="preserve">β2X2 </w:t>
      </w:r>
      <w:r w:rsidRPr="00F7363C">
        <w:rPr>
          <w:szCs w:val="20"/>
        </w:rPr>
        <w:tab/>
      </w:r>
      <w:r w:rsidRPr="00F7363C">
        <w:rPr>
          <w:szCs w:val="20"/>
        </w:rPr>
        <w:tab/>
        <w:t>= Debt Default</w:t>
      </w:r>
    </w:p>
    <w:p w14:paraId="7F12AA09" w14:textId="77777777" w:rsidR="00F7363C" w:rsidRPr="00F7363C" w:rsidRDefault="00F7363C" w:rsidP="00F7363C">
      <w:pPr>
        <w:pStyle w:val="ListParagraph"/>
        <w:spacing w:after="0"/>
        <w:ind w:left="709" w:hanging="709"/>
        <w:jc w:val="both"/>
        <w:rPr>
          <w:szCs w:val="20"/>
        </w:rPr>
      </w:pPr>
      <w:r w:rsidRPr="00F7363C">
        <w:rPr>
          <w:szCs w:val="20"/>
        </w:rPr>
        <w:t xml:space="preserve">β3X3 </w:t>
      </w:r>
      <w:r w:rsidRPr="00F7363C">
        <w:rPr>
          <w:szCs w:val="20"/>
        </w:rPr>
        <w:tab/>
      </w:r>
      <w:r w:rsidRPr="00F7363C">
        <w:rPr>
          <w:szCs w:val="20"/>
        </w:rPr>
        <w:tab/>
        <w:t>= Kondisi Keuangan</w:t>
      </w:r>
    </w:p>
    <w:p w14:paraId="0A120A64" w14:textId="77777777" w:rsidR="00F7363C" w:rsidRPr="00F7363C" w:rsidRDefault="00F7363C" w:rsidP="00F7363C">
      <w:pPr>
        <w:pStyle w:val="ListParagraph"/>
        <w:spacing w:after="0"/>
        <w:ind w:left="709" w:hanging="709"/>
        <w:jc w:val="both"/>
        <w:rPr>
          <w:szCs w:val="20"/>
        </w:rPr>
      </w:pPr>
      <w:r w:rsidRPr="00F7363C">
        <w:rPr>
          <w:szCs w:val="20"/>
        </w:rPr>
        <w:t xml:space="preserve">β4X4 </w:t>
      </w:r>
      <w:r w:rsidRPr="00F7363C">
        <w:rPr>
          <w:szCs w:val="20"/>
        </w:rPr>
        <w:tab/>
        <w:t>= Pertumbuhan Perusahaan</w:t>
      </w:r>
    </w:p>
    <w:p w14:paraId="71256030" w14:textId="77777777" w:rsidR="00F7363C" w:rsidRPr="00F7363C" w:rsidRDefault="00F7363C" w:rsidP="00F7363C">
      <w:pPr>
        <w:pStyle w:val="ListParagraph"/>
        <w:spacing w:after="0"/>
        <w:ind w:left="709" w:hanging="709"/>
        <w:jc w:val="both"/>
        <w:rPr>
          <w:szCs w:val="20"/>
        </w:rPr>
      </w:pPr>
      <w:r w:rsidRPr="00F7363C">
        <w:rPr>
          <w:szCs w:val="20"/>
        </w:rPr>
        <w:t xml:space="preserve">β5X5 </w:t>
      </w:r>
      <w:r w:rsidRPr="00F7363C">
        <w:rPr>
          <w:szCs w:val="20"/>
        </w:rPr>
        <w:tab/>
        <w:t>= Leverage</w:t>
      </w:r>
    </w:p>
    <w:p w14:paraId="0DEB0B49" w14:textId="56CBB6B7" w:rsidR="00F7363C" w:rsidRDefault="00F7363C" w:rsidP="00F7363C">
      <w:pPr>
        <w:pStyle w:val="ListParagraph"/>
        <w:spacing w:after="0"/>
        <w:ind w:left="709" w:hanging="709"/>
        <w:jc w:val="both"/>
        <w:rPr>
          <w:szCs w:val="20"/>
        </w:rPr>
      </w:pPr>
      <w:r w:rsidRPr="00F7363C">
        <w:rPr>
          <w:szCs w:val="20"/>
        </w:rPr>
        <w:t xml:space="preserve">e </w:t>
      </w:r>
      <w:r w:rsidRPr="00F7363C">
        <w:rPr>
          <w:szCs w:val="20"/>
        </w:rPr>
        <w:tab/>
      </w:r>
      <w:r w:rsidRPr="00F7363C">
        <w:rPr>
          <w:szCs w:val="20"/>
        </w:rPr>
        <w:tab/>
        <w:t>= Error</w:t>
      </w:r>
    </w:p>
    <w:p w14:paraId="0BA29A26" w14:textId="78006BF5" w:rsidR="00F7363C" w:rsidRPr="00F7363C" w:rsidRDefault="00F7363C" w:rsidP="00F7363C">
      <w:pPr>
        <w:spacing w:after="0"/>
        <w:jc w:val="both"/>
        <w:rPr>
          <w:szCs w:val="20"/>
        </w:rPr>
      </w:pPr>
    </w:p>
    <w:p w14:paraId="433A9322" w14:textId="6E19DF96" w:rsidR="00F7363C" w:rsidRPr="00F7363C" w:rsidRDefault="00F7363C" w:rsidP="00F7363C">
      <w:pPr>
        <w:pStyle w:val="ListParagraph"/>
        <w:spacing w:after="0"/>
        <w:ind w:left="709" w:hanging="709"/>
        <w:jc w:val="center"/>
        <w:rPr>
          <w:szCs w:val="20"/>
          <w:lang w:val="en-US"/>
        </w:rPr>
      </w:pPr>
      <w:r>
        <w:rPr>
          <w:szCs w:val="20"/>
          <w:lang w:val="en-US"/>
        </w:rPr>
        <w:t>Tabel 1</w:t>
      </w:r>
    </w:p>
    <w:tbl>
      <w:tblPr>
        <w:tblStyle w:val="TableGrid"/>
        <w:tblW w:w="4314" w:type="dxa"/>
        <w:jc w:val="center"/>
        <w:tblLook w:val="04A0" w:firstRow="1" w:lastRow="0" w:firstColumn="1" w:lastColumn="0" w:noHBand="0" w:noVBand="1"/>
      </w:tblPr>
      <w:tblGrid>
        <w:gridCol w:w="363"/>
        <w:gridCol w:w="890"/>
        <w:gridCol w:w="1982"/>
        <w:gridCol w:w="1079"/>
      </w:tblGrid>
      <w:tr w:rsidR="00F7363C" w:rsidRPr="004947C0" w14:paraId="2EE16D93" w14:textId="77777777" w:rsidTr="00F7363C">
        <w:trPr>
          <w:trHeight w:val="448"/>
          <w:jc w:val="center"/>
        </w:trPr>
        <w:tc>
          <w:tcPr>
            <w:tcW w:w="357" w:type="dxa"/>
          </w:tcPr>
          <w:p w14:paraId="55E2F191" w14:textId="77777777" w:rsidR="00F7363C" w:rsidRPr="00F7363C" w:rsidRDefault="00F7363C" w:rsidP="00E63A21">
            <w:pPr>
              <w:jc w:val="both"/>
              <w:rPr>
                <w:color w:val="000000" w:themeColor="text1"/>
                <w:sz w:val="12"/>
                <w:szCs w:val="12"/>
              </w:rPr>
            </w:pPr>
            <w:r w:rsidRPr="00F7363C">
              <w:rPr>
                <w:color w:val="000000" w:themeColor="text1"/>
                <w:sz w:val="12"/>
                <w:szCs w:val="12"/>
              </w:rPr>
              <w:t>No</w:t>
            </w:r>
          </w:p>
        </w:tc>
        <w:tc>
          <w:tcPr>
            <w:tcW w:w="890" w:type="dxa"/>
          </w:tcPr>
          <w:p w14:paraId="7E5A1F7D" w14:textId="77777777" w:rsidR="00F7363C" w:rsidRPr="00F7363C" w:rsidRDefault="00F7363C" w:rsidP="00E63A21">
            <w:pPr>
              <w:jc w:val="both"/>
              <w:rPr>
                <w:color w:val="000000" w:themeColor="text1"/>
                <w:sz w:val="12"/>
                <w:szCs w:val="12"/>
              </w:rPr>
            </w:pPr>
            <w:r w:rsidRPr="00F7363C">
              <w:rPr>
                <w:color w:val="000000" w:themeColor="text1"/>
                <w:sz w:val="12"/>
                <w:szCs w:val="12"/>
              </w:rPr>
              <w:t>Variabel</w:t>
            </w:r>
          </w:p>
        </w:tc>
        <w:tc>
          <w:tcPr>
            <w:tcW w:w="1988" w:type="dxa"/>
          </w:tcPr>
          <w:p w14:paraId="6276FA1D" w14:textId="77777777" w:rsidR="00F7363C" w:rsidRPr="00F7363C" w:rsidRDefault="00F7363C" w:rsidP="00E63A21">
            <w:pPr>
              <w:jc w:val="both"/>
              <w:rPr>
                <w:color w:val="000000" w:themeColor="text1"/>
                <w:sz w:val="12"/>
                <w:szCs w:val="12"/>
              </w:rPr>
            </w:pPr>
            <w:r w:rsidRPr="00F7363C">
              <w:rPr>
                <w:color w:val="000000" w:themeColor="text1"/>
                <w:sz w:val="12"/>
                <w:szCs w:val="12"/>
              </w:rPr>
              <w:t>Definisi Konseptuak</w:t>
            </w:r>
          </w:p>
        </w:tc>
        <w:tc>
          <w:tcPr>
            <w:tcW w:w="1079" w:type="dxa"/>
          </w:tcPr>
          <w:p w14:paraId="0966268C" w14:textId="77777777" w:rsidR="00F7363C" w:rsidRPr="00F7363C" w:rsidRDefault="00F7363C" w:rsidP="00E63A21">
            <w:pPr>
              <w:jc w:val="both"/>
              <w:rPr>
                <w:color w:val="000000" w:themeColor="text1"/>
                <w:sz w:val="12"/>
                <w:szCs w:val="12"/>
              </w:rPr>
            </w:pPr>
            <w:r w:rsidRPr="00F7363C">
              <w:rPr>
                <w:color w:val="000000" w:themeColor="text1"/>
                <w:sz w:val="12"/>
                <w:szCs w:val="12"/>
              </w:rPr>
              <w:t>Pengukuran</w:t>
            </w:r>
          </w:p>
        </w:tc>
      </w:tr>
      <w:tr w:rsidR="00F7363C" w:rsidRPr="004947C0" w14:paraId="75BDD89B" w14:textId="77777777" w:rsidTr="00F7363C">
        <w:trPr>
          <w:trHeight w:val="223"/>
          <w:jc w:val="center"/>
        </w:trPr>
        <w:tc>
          <w:tcPr>
            <w:tcW w:w="357" w:type="dxa"/>
          </w:tcPr>
          <w:p w14:paraId="19357A65" w14:textId="77777777" w:rsidR="00F7363C" w:rsidRPr="00F7363C" w:rsidRDefault="00F7363C" w:rsidP="00E63A21">
            <w:pPr>
              <w:rPr>
                <w:b/>
                <w:bCs/>
                <w:color w:val="000000" w:themeColor="text1"/>
                <w:sz w:val="12"/>
                <w:szCs w:val="12"/>
              </w:rPr>
            </w:pPr>
            <w:r w:rsidRPr="00F7363C">
              <w:rPr>
                <w:b/>
                <w:bCs/>
                <w:color w:val="000000" w:themeColor="text1"/>
                <w:sz w:val="12"/>
                <w:szCs w:val="12"/>
              </w:rPr>
              <w:t>1</w:t>
            </w:r>
          </w:p>
        </w:tc>
        <w:tc>
          <w:tcPr>
            <w:tcW w:w="890" w:type="dxa"/>
          </w:tcPr>
          <w:p w14:paraId="33A52DF0" w14:textId="77777777" w:rsidR="00F7363C" w:rsidRPr="00F7363C" w:rsidRDefault="00F7363C" w:rsidP="00E63A21">
            <w:pPr>
              <w:rPr>
                <w:b/>
                <w:bCs/>
                <w:color w:val="000000" w:themeColor="text1"/>
                <w:sz w:val="12"/>
                <w:szCs w:val="12"/>
              </w:rPr>
            </w:pPr>
            <w:r w:rsidRPr="00F7363C">
              <w:rPr>
                <w:sz w:val="12"/>
                <w:szCs w:val="12"/>
              </w:rPr>
              <w:t>Opini Audit Going Concern</w:t>
            </w:r>
          </w:p>
        </w:tc>
        <w:tc>
          <w:tcPr>
            <w:tcW w:w="1988" w:type="dxa"/>
          </w:tcPr>
          <w:p w14:paraId="62E02155" w14:textId="77777777" w:rsidR="00F7363C" w:rsidRPr="00F7363C" w:rsidRDefault="00F7363C" w:rsidP="00E63A21">
            <w:pPr>
              <w:rPr>
                <w:b/>
                <w:bCs/>
                <w:color w:val="000000" w:themeColor="text1"/>
                <w:sz w:val="12"/>
                <w:szCs w:val="12"/>
              </w:rPr>
            </w:pPr>
            <w:r w:rsidRPr="00F7363C">
              <w:rPr>
                <w:sz w:val="12"/>
                <w:szCs w:val="12"/>
              </w:rPr>
              <w:t>Opini audit dengan paragraph penjelas. mengenai pertimbangan auditor tentang ketidakmampuan atau kesangsian atas keberlangsungan hidup perusahaan dalam menjalankan kegiatan operasionalnya pada masa mendatang</w:t>
            </w:r>
          </w:p>
        </w:tc>
        <w:tc>
          <w:tcPr>
            <w:tcW w:w="1079" w:type="dxa"/>
          </w:tcPr>
          <w:p w14:paraId="4B6BAF37" w14:textId="77777777" w:rsidR="00F7363C" w:rsidRPr="00F7363C" w:rsidRDefault="00F7363C" w:rsidP="00E63A21">
            <w:pPr>
              <w:rPr>
                <w:sz w:val="12"/>
                <w:szCs w:val="12"/>
              </w:rPr>
            </w:pPr>
            <w:r w:rsidRPr="00F7363C">
              <w:rPr>
                <w:sz w:val="12"/>
                <w:szCs w:val="12"/>
              </w:rPr>
              <w:t>Dummy variabel</w:t>
            </w:r>
          </w:p>
          <w:p w14:paraId="7D2DBC0D" w14:textId="77777777" w:rsidR="00F7363C" w:rsidRPr="00F7363C" w:rsidRDefault="00F7363C" w:rsidP="00E63A21">
            <w:pPr>
              <w:rPr>
                <w:sz w:val="12"/>
                <w:szCs w:val="12"/>
              </w:rPr>
            </w:pPr>
            <w:r w:rsidRPr="00F7363C">
              <w:rPr>
                <w:sz w:val="12"/>
                <w:szCs w:val="12"/>
              </w:rPr>
              <w:t xml:space="preserve"> 0 = jika perusahaan tidak mendapatkan opini audit going concern </w:t>
            </w:r>
          </w:p>
          <w:p w14:paraId="5E942E37" w14:textId="77777777" w:rsidR="00F7363C" w:rsidRPr="00F7363C" w:rsidRDefault="00F7363C" w:rsidP="00E63A21">
            <w:pPr>
              <w:rPr>
                <w:b/>
                <w:bCs/>
                <w:color w:val="000000" w:themeColor="text1"/>
                <w:sz w:val="12"/>
                <w:szCs w:val="12"/>
              </w:rPr>
            </w:pPr>
            <w:r w:rsidRPr="00F7363C">
              <w:rPr>
                <w:sz w:val="12"/>
                <w:szCs w:val="12"/>
              </w:rPr>
              <w:t>1 = jika perusahaan mendapatkan opini audit going concern</w:t>
            </w:r>
          </w:p>
        </w:tc>
      </w:tr>
      <w:tr w:rsidR="00F7363C" w:rsidRPr="004947C0" w14:paraId="3813FB5A" w14:textId="77777777" w:rsidTr="00F7363C">
        <w:trPr>
          <w:trHeight w:val="214"/>
          <w:jc w:val="center"/>
        </w:trPr>
        <w:tc>
          <w:tcPr>
            <w:tcW w:w="357" w:type="dxa"/>
          </w:tcPr>
          <w:p w14:paraId="0F2BB057" w14:textId="77777777" w:rsidR="00F7363C" w:rsidRPr="00F7363C" w:rsidRDefault="00F7363C" w:rsidP="00E63A21">
            <w:pPr>
              <w:rPr>
                <w:b/>
                <w:bCs/>
                <w:color w:val="000000" w:themeColor="text1"/>
                <w:sz w:val="12"/>
                <w:szCs w:val="12"/>
              </w:rPr>
            </w:pPr>
            <w:r w:rsidRPr="00F7363C">
              <w:rPr>
                <w:b/>
                <w:bCs/>
                <w:color w:val="000000" w:themeColor="text1"/>
                <w:sz w:val="12"/>
                <w:szCs w:val="12"/>
              </w:rPr>
              <w:lastRenderedPageBreak/>
              <w:t>2</w:t>
            </w:r>
          </w:p>
        </w:tc>
        <w:tc>
          <w:tcPr>
            <w:tcW w:w="890" w:type="dxa"/>
          </w:tcPr>
          <w:p w14:paraId="1A18C12A" w14:textId="77777777" w:rsidR="00F7363C" w:rsidRPr="00F7363C" w:rsidRDefault="00F7363C" w:rsidP="00E63A21">
            <w:pPr>
              <w:rPr>
                <w:b/>
                <w:bCs/>
                <w:color w:val="000000" w:themeColor="text1"/>
                <w:sz w:val="12"/>
                <w:szCs w:val="12"/>
              </w:rPr>
            </w:pPr>
            <w:r w:rsidRPr="00F7363C">
              <w:rPr>
                <w:sz w:val="12"/>
                <w:szCs w:val="12"/>
              </w:rPr>
              <w:t>Ukuran Perusahaan</w:t>
            </w:r>
          </w:p>
        </w:tc>
        <w:tc>
          <w:tcPr>
            <w:tcW w:w="1988" w:type="dxa"/>
          </w:tcPr>
          <w:p w14:paraId="42B72DA4" w14:textId="77777777" w:rsidR="00F7363C" w:rsidRPr="00F7363C" w:rsidRDefault="00F7363C" w:rsidP="00E63A21">
            <w:pPr>
              <w:rPr>
                <w:b/>
                <w:bCs/>
                <w:color w:val="000000" w:themeColor="text1"/>
                <w:sz w:val="12"/>
                <w:szCs w:val="12"/>
              </w:rPr>
            </w:pPr>
            <w:r w:rsidRPr="00F7363C">
              <w:rPr>
                <w:sz w:val="12"/>
                <w:szCs w:val="12"/>
              </w:rPr>
              <w:t>Skala perusahaan yang dapat dilihat berdasarkan besarnya nilai aset, nilai penjualan atau nilai modal. Total aset digunakan sebagai representasi ukuran perusahaan karena nilai total aset dinilai relatif lebih stabil jika dibandingkan dengan ukuran lainnya</w:t>
            </w:r>
          </w:p>
        </w:tc>
        <w:tc>
          <w:tcPr>
            <w:tcW w:w="1079" w:type="dxa"/>
          </w:tcPr>
          <w:p w14:paraId="085ECE10" w14:textId="77777777" w:rsidR="00F7363C" w:rsidRPr="00F7363C" w:rsidRDefault="00F7363C" w:rsidP="00E63A21">
            <w:pPr>
              <w:jc w:val="both"/>
              <w:rPr>
                <w:b/>
                <w:bCs/>
                <w:color w:val="000000" w:themeColor="text1"/>
                <w:sz w:val="12"/>
                <w:szCs w:val="12"/>
              </w:rPr>
            </w:pPr>
            <w:r w:rsidRPr="00F7363C">
              <w:rPr>
                <w:sz w:val="12"/>
                <w:szCs w:val="12"/>
              </w:rPr>
              <w:t>Size = Ln (Total Asset)</w:t>
            </w:r>
          </w:p>
        </w:tc>
      </w:tr>
      <w:tr w:rsidR="00F7363C" w:rsidRPr="004947C0" w14:paraId="5B8813D5" w14:textId="77777777" w:rsidTr="00F7363C">
        <w:trPr>
          <w:trHeight w:val="223"/>
          <w:jc w:val="center"/>
        </w:trPr>
        <w:tc>
          <w:tcPr>
            <w:tcW w:w="357" w:type="dxa"/>
          </w:tcPr>
          <w:p w14:paraId="719E86BB" w14:textId="77777777" w:rsidR="00F7363C" w:rsidRPr="00F7363C" w:rsidRDefault="00F7363C" w:rsidP="00E63A21">
            <w:pPr>
              <w:jc w:val="both"/>
              <w:rPr>
                <w:b/>
                <w:bCs/>
                <w:color w:val="000000" w:themeColor="text1"/>
                <w:sz w:val="12"/>
                <w:szCs w:val="12"/>
              </w:rPr>
            </w:pPr>
            <w:r w:rsidRPr="00F7363C">
              <w:rPr>
                <w:b/>
                <w:bCs/>
                <w:color w:val="000000" w:themeColor="text1"/>
                <w:sz w:val="12"/>
                <w:szCs w:val="12"/>
              </w:rPr>
              <w:t>3</w:t>
            </w:r>
          </w:p>
        </w:tc>
        <w:tc>
          <w:tcPr>
            <w:tcW w:w="890" w:type="dxa"/>
          </w:tcPr>
          <w:p w14:paraId="69A3A85F" w14:textId="77777777" w:rsidR="00F7363C" w:rsidRPr="00F7363C" w:rsidRDefault="00F7363C" w:rsidP="00E63A21">
            <w:pPr>
              <w:jc w:val="both"/>
              <w:rPr>
                <w:b/>
                <w:bCs/>
                <w:color w:val="000000" w:themeColor="text1"/>
                <w:sz w:val="12"/>
                <w:szCs w:val="12"/>
              </w:rPr>
            </w:pPr>
            <w:r w:rsidRPr="00F7363C">
              <w:rPr>
                <w:rFonts w:eastAsia="Times New Roman"/>
                <w:i/>
                <w:sz w:val="12"/>
                <w:szCs w:val="12"/>
              </w:rPr>
              <w:t>Debt Default</w:t>
            </w:r>
            <w:r w:rsidRPr="00F7363C">
              <w:rPr>
                <w:rFonts w:eastAsia="Times New Roman"/>
                <w:sz w:val="12"/>
                <w:szCs w:val="12"/>
              </w:rPr>
              <w:t xml:space="preserve"> </w:t>
            </w:r>
          </w:p>
        </w:tc>
        <w:tc>
          <w:tcPr>
            <w:tcW w:w="1988" w:type="dxa"/>
          </w:tcPr>
          <w:p w14:paraId="467F28D7" w14:textId="77777777" w:rsidR="00F7363C" w:rsidRPr="00F7363C" w:rsidRDefault="00F7363C" w:rsidP="00E63A21">
            <w:pPr>
              <w:jc w:val="both"/>
              <w:rPr>
                <w:b/>
                <w:bCs/>
                <w:color w:val="000000" w:themeColor="text1"/>
                <w:sz w:val="12"/>
                <w:szCs w:val="12"/>
              </w:rPr>
            </w:pPr>
            <w:r w:rsidRPr="00F7363C">
              <w:rPr>
                <w:rFonts w:eastAsia="Times New Roman"/>
                <w:sz w:val="12"/>
                <w:szCs w:val="12"/>
              </w:rPr>
              <w:t>kegagalan perusahaan untuk membayar hutang pokok dan atau bunganya pada waktu jatuh tempo</w:t>
            </w:r>
          </w:p>
        </w:tc>
        <w:tc>
          <w:tcPr>
            <w:tcW w:w="1079" w:type="dxa"/>
          </w:tcPr>
          <w:p w14:paraId="174EA244" w14:textId="77777777" w:rsidR="00F7363C" w:rsidRPr="00F7363C" w:rsidRDefault="00F7363C" w:rsidP="00E63A21">
            <w:pPr>
              <w:autoSpaceDE w:val="0"/>
              <w:autoSpaceDN w:val="0"/>
              <w:adjustRightInd w:val="0"/>
              <w:spacing w:line="480" w:lineRule="auto"/>
              <w:jc w:val="center"/>
              <w:rPr>
                <w:rFonts w:eastAsia="Times New Roman"/>
                <w:bCs/>
                <w:i/>
                <w:sz w:val="12"/>
                <w:szCs w:val="12"/>
              </w:rPr>
            </w:pPr>
            <w:r w:rsidRPr="00F7363C">
              <w:rPr>
                <w:rFonts w:eastAsia="Times New Roman"/>
                <w:bCs/>
                <w:i/>
                <w:sz w:val="12"/>
                <w:szCs w:val="12"/>
              </w:rPr>
              <w:t>Current rasio</w:t>
            </w:r>
          </w:p>
          <w:p w14:paraId="3EB3BC3B" w14:textId="77777777" w:rsidR="00F7363C" w:rsidRPr="00F7363C" w:rsidRDefault="00F7363C" w:rsidP="00E63A21">
            <w:pPr>
              <w:autoSpaceDE w:val="0"/>
              <w:autoSpaceDN w:val="0"/>
              <w:adjustRightInd w:val="0"/>
              <w:spacing w:line="480" w:lineRule="auto"/>
              <w:jc w:val="center"/>
              <w:rPr>
                <w:rFonts w:eastAsia="Times New Roman"/>
                <w:bCs/>
                <w:i/>
                <w:sz w:val="12"/>
                <w:szCs w:val="12"/>
              </w:rPr>
            </w:pPr>
            <w:r w:rsidRPr="00F7363C">
              <w:rPr>
                <w:rFonts w:eastAsia="Times New Roman"/>
                <w:bCs/>
                <w:i/>
                <w:sz w:val="12"/>
                <w:szCs w:val="12"/>
              </w:rPr>
              <w:t>=</w:t>
            </w:r>
            <m:oMath>
              <m:f>
                <m:fPr>
                  <m:ctrlPr>
                    <w:rPr>
                      <w:rFonts w:ascii="Cambria Math" w:eastAsia="Times New Roman" w:hAnsi="Cambria Math"/>
                      <w:bCs/>
                      <w:i/>
                      <w:sz w:val="12"/>
                      <w:szCs w:val="12"/>
                    </w:rPr>
                  </m:ctrlPr>
                </m:fPr>
                <m:num>
                  <m:r>
                    <m:rPr>
                      <m:nor/>
                    </m:rPr>
                    <w:rPr>
                      <w:rFonts w:eastAsia="Times New Roman"/>
                      <w:bCs/>
                      <w:sz w:val="12"/>
                      <w:szCs w:val="12"/>
                    </w:rPr>
                    <m:t>Aset Lancar</m:t>
                  </m:r>
                </m:num>
                <m:den>
                  <m:r>
                    <m:rPr>
                      <m:nor/>
                    </m:rPr>
                    <w:rPr>
                      <w:rFonts w:eastAsia="Times New Roman"/>
                      <w:bCs/>
                      <w:sz w:val="12"/>
                      <w:szCs w:val="12"/>
                    </w:rPr>
                    <m:t>Kewajiban Lancar</m:t>
                  </m:r>
                </m:den>
              </m:f>
            </m:oMath>
          </w:p>
          <w:p w14:paraId="1048FFC0" w14:textId="77777777" w:rsidR="00F7363C" w:rsidRPr="00F7363C" w:rsidRDefault="00F7363C" w:rsidP="00E63A21">
            <w:pPr>
              <w:jc w:val="both"/>
              <w:rPr>
                <w:b/>
                <w:bCs/>
                <w:color w:val="000000" w:themeColor="text1"/>
                <w:sz w:val="12"/>
                <w:szCs w:val="12"/>
              </w:rPr>
            </w:pPr>
          </w:p>
        </w:tc>
      </w:tr>
      <w:tr w:rsidR="00F7363C" w:rsidRPr="004947C0" w14:paraId="6F1CA3F1" w14:textId="77777777" w:rsidTr="00F7363C">
        <w:trPr>
          <w:trHeight w:val="223"/>
          <w:jc w:val="center"/>
        </w:trPr>
        <w:tc>
          <w:tcPr>
            <w:tcW w:w="357" w:type="dxa"/>
          </w:tcPr>
          <w:p w14:paraId="0E6DBD3B" w14:textId="77777777" w:rsidR="00F7363C" w:rsidRPr="00F7363C" w:rsidRDefault="00F7363C" w:rsidP="00E63A21">
            <w:pPr>
              <w:jc w:val="both"/>
              <w:rPr>
                <w:b/>
                <w:bCs/>
                <w:color w:val="000000" w:themeColor="text1"/>
                <w:sz w:val="12"/>
                <w:szCs w:val="12"/>
              </w:rPr>
            </w:pPr>
            <w:r w:rsidRPr="00F7363C">
              <w:rPr>
                <w:b/>
                <w:bCs/>
                <w:color w:val="000000" w:themeColor="text1"/>
                <w:sz w:val="12"/>
                <w:szCs w:val="12"/>
              </w:rPr>
              <w:t>4</w:t>
            </w:r>
          </w:p>
        </w:tc>
        <w:tc>
          <w:tcPr>
            <w:tcW w:w="890" w:type="dxa"/>
          </w:tcPr>
          <w:p w14:paraId="230134A9" w14:textId="77777777" w:rsidR="00F7363C" w:rsidRPr="00F7363C" w:rsidRDefault="00F7363C" w:rsidP="00E63A21">
            <w:pPr>
              <w:jc w:val="both"/>
              <w:rPr>
                <w:color w:val="000000" w:themeColor="text1"/>
                <w:sz w:val="12"/>
                <w:szCs w:val="12"/>
              </w:rPr>
            </w:pPr>
            <w:r w:rsidRPr="00F7363C">
              <w:rPr>
                <w:color w:val="000000" w:themeColor="text1"/>
                <w:sz w:val="12"/>
                <w:szCs w:val="12"/>
              </w:rPr>
              <w:t>Kondisi Keuangan</w:t>
            </w:r>
          </w:p>
        </w:tc>
        <w:tc>
          <w:tcPr>
            <w:tcW w:w="1988" w:type="dxa"/>
          </w:tcPr>
          <w:p w14:paraId="004E0207" w14:textId="77777777" w:rsidR="00F7363C" w:rsidRPr="00F7363C" w:rsidRDefault="00F7363C" w:rsidP="00E63A21">
            <w:pPr>
              <w:jc w:val="both"/>
              <w:rPr>
                <w:b/>
                <w:bCs/>
                <w:color w:val="000000" w:themeColor="text1"/>
                <w:sz w:val="12"/>
                <w:szCs w:val="12"/>
              </w:rPr>
            </w:pPr>
            <w:r w:rsidRPr="00F7363C">
              <w:rPr>
                <w:rFonts w:eastAsia="Times New Roman"/>
                <w:sz w:val="12"/>
                <w:szCs w:val="12"/>
              </w:rPr>
              <w:t>Kondisi keuangan perusahaan merupakan tingkat kesehatan perusahaan sesungguhnya</w:t>
            </w:r>
          </w:p>
        </w:tc>
        <w:tc>
          <w:tcPr>
            <w:tcW w:w="1079" w:type="dxa"/>
          </w:tcPr>
          <w:p w14:paraId="4BB076B9" w14:textId="77777777" w:rsidR="00F7363C" w:rsidRPr="00F7363C" w:rsidRDefault="00F7363C" w:rsidP="00E63A21">
            <w:pPr>
              <w:autoSpaceDE w:val="0"/>
              <w:autoSpaceDN w:val="0"/>
              <w:adjustRightInd w:val="0"/>
              <w:ind w:firstLine="63"/>
              <w:contextualSpacing/>
              <w:rPr>
                <w:rFonts w:eastAsia="Times New Roman"/>
                <w:bCs/>
                <w:sz w:val="12"/>
                <w:szCs w:val="12"/>
              </w:rPr>
            </w:pPr>
            <w:r w:rsidRPr="00F7363C">
              <w:rPr>
                <w:rFonts w:eastAsia="Times New Roman"/>
                <w:bCs/>
                <w:i/>
                <w:sz w:val="12"/>
                <w:szCs w:val="12"/>
              </w:rPr>
              <w:t>Return on Asset</w:t>
            </w:r>
            <w:r w:rsidRPr="00F7363C">
              <w:rPr>
                <w:rFonts w:eastAsia="Times New Roman"/>
                <w:bCs/>
                <w:sz w:val="12"/>
                <w:szCs w:val="12"/>
              </w:rPr>
              <w:tab/>
            </w:r>
          </w:p>
          <w:p w14:paraId="4BC7692E" w14:textId="77777777" w:rsidR="00F7363C" w:rsidRPr="00F7363C" w:rsidRDefault="00F7363C" w:rsidP="00E63A21">
            <w:pPr>
              <w:autoSpaceDE w:val="0"/>
              <w:autoSpaceDN w:val="0"/>
              <w:adjustRightInd w:val="0"/>
              <w:ind w:firstLine="63"/>
              <w:contextualSpacing/>
              <w:rPr>
                <w:rFonts w:eastAsia="Times New Roman"/>
                <w:bCs/>
                <w:sz w:val="12"/>
                <w:szCs w:val="12"/>
              </w:rPr>
            </w:pPr>
            <w:r w:rsidRPr="00F7363C">
              <w:rPr>
                <w:rFonts w:eastAsia="Times New Roman"/>
                <w:bCs/>
                <w:sz w:val="12"/>
                <w:szCs w:val="12"/>
              </w:rPr>
              <w:t xml:space="preserve">= </w:t>
            </w:r>
            <m:oMath>
              <m:f>
                <m:fPr>
                  <m:ctrlPr>
                    <w:rPr>
                      <w:rFonts w:ascii="Cambria Math" w:eastAsia="Times New Roman" w:hAnsi="Cambria Math"/>
                      <w:bCs/>
                      <w:i/>
                      <w:sz w:val="12"/>
                      <w:szCs w:val="12"/>
                    </w:rPr>
                  </m:ctrlPr>
                </m:fPr>
                <m:num>
                  <m:r>
                    <m:rPr>
                      <m:nor/>
                    </m:rPr>
                    <w:rPr>
                      <w:rFonts w:eastAsia="Times New Roman"/>
                      <w:bCs/>
                      <w:sz w:val="12"/>
                      <w:szCs w:val="12"/>
                    </w:rPr>
                    <m:t>Laba Bersih</m:t>
                  </m:r>
                </m:num>
                <m:den>
                  <m:r>
                    <m:rPr>
                      <m:nor/>
                    </m:rPr>
                    <w:rPr>
                      <w:rFonts w:eastAsia="Times New Roman"/>
                      <w:bCs/>
                      <w:sz w:val="12"/>
                      <w:szCs w:val="12"/>
                    </w:rPr>
                    <m:t>Total Aset</m:t>
                  </m:r>
                </m:den>
              </m:f>
            </m:oMath>
          </w:p>
          <w:p w14:paraId="3C1AE6FF" w14:textId="77777777" w:rsidR="00F7363C" w:rsidRPr="00F7363C" w:rsidRDefault="00F7363C" w:rsidP="00E63A21">
            <w:pPr>
              <w:jc w:val="both"/>
              <w:rPr>
                <w:bCs/>
                <w:color w:val="000000" w:themeColor="text1"/>
                <w:sz w:val="12"/>
                <w:szCs w:val="12"/>
              </w:rPr>
            </w:pPr>
          </w:p>
        </w:tc>
      </w:tr>
      <w:tr w:rsidR="00F7363C" w:rsidRPr="004947C0" w14:paraId="430F65B5" w14:textId="77777777" w:rsidTr="00F7363C">
        <w:trPr>
          <w:trHeight w:val="223"/>
          <w:jc w:val="center"/>
        </w:trPr>
        <w:tc>
          <w:tcPr>
            <w:tcW w:w="357" w:type="dxa"/>
          </w:tcPr>
          <w:p w14:paraId="38CA568D" w14:textId="77777777" w:rsidR="00F7363C" w:rsidRPr="00F7363C" w:rsidRDefault="00F7363C" w:rsidP="00E63A21">
            <w:pPr>
              <w:jc w:val="both"/>
              <w:rPr>
                <w:b/>
                <w:bCs/>
                <w:color w:val="000000" w:themeColor="text1"/>
                <w:sz w:val="12"/>
                <w:szCs w:val="12"/>
              </w:rPr>
            </w:pPr>
            <w:r w:rsidRPr="00F7363C">
              <w:rPr>
                <w:b/>
                <w:bCs/>
                <w:color w:val="000000" w:themeColor="text1"/>
                <w:sz w:val="12"/>
                <w:szCs w:val="12"/>
              </w:rPr>
              <w:t>5</w:t>
            </w:r>
          </w:p>
        </w:tc>
        <w:tc>
          <w:tcPr>
            <w:tcW w:w="890" w:type="dxa"/>
          </w:tcPr>
          <w:p w14:paraId="45673EC2" w14:textId="77777777" w:rsidR="00F7363C" w:rsidRPr="00F7363C" w:rsidRDefault="00F7363C" w:rsidP="00E63A21">
            <w:pPr>
              <w:jc w:val="both"/>
              <w:rPr>
                <w:color w:val="000000" w:themeColor="text1"/>
                <w:sz w:val="12"/>
                <w:szCs w:val="12"/>
              </w:rPr>
            </w:pPr>
            <w:r w:rsidRPr="00F7363C">
              <w:rPr>
                <w:color w:val="000000" w:themeColor="text1"/>
                <w:sz w:val="12"/>
                <w:szCs w:val="12"/>
              </w:rPr>
              <w:t>Pertumbuhan Perusahaan</w:t>
            </w:r>
          </w:p>
        </w:tc>
        <w:tc>
          <w:tcPr>
            <w:tcW w:w="1988" w:type="dxa"/>
          </w:tcPr>
          <w:p w14:paraId="24DF62A8" w14:textId="77777777" w:rsidR="00F7363C" w:rsidRPr="00F7363C" w:rsidRDefault="00F7363C" w:rsidP="00E63A21">
            <w:pPr>
              <w:jc w:val="both"/>
              <w:rPr>
                <w:b/>
                <w:bCs/>
                <w:color w:val="000000" w:themeColor="text1"/>
                <w:sz w:val="12"/>
                <w:szCs w:val="12"/>
              </w:rPr>
            </w:pPr>
            <w:r w:rsidRPr="00F7363C">
              <w:rPr>
                <w:sz w:val="12"/>
                <w:szCs w:val="12"/>
              </w:rPr>
              <w:t>Kemampuan perusahaan dalam mempertahankan posisi ekonominya di tengah pertumbuhan perekonomian serta sektor usahanya yang dilihat dari pertumbuhan penjualannya karena penjualan merupakan kegiatan utama perusahaan untuk dapat terus hidup (going concern).</w:t>
            </w:r>
          </w:p>
        </w:tc>
        <w:tc>
          <w:tcPr>
            <w:tcW w:w="1079" w:type="dxa"/>
          </w:tcPr>
          <w:p w14:paraId="28D89A21" w14:textId="77777777" w:rsidR="00F7363C" w:rsidRPr="00F7363C" w:rsidRDefault="00F7363C" w:rsidP="00E63A21">
            <w:pPr>
              <w:contextualSpacing/>
              <w:rPr>
                <w:rFonts w:eastAsia="Times New Roman"/>
                <w:bCs/>
                <w:sz w:val="12"/>
                <w:szCs w:val="12"/>
              </w:rPr>
            </w:pPr>
            <w:r w:rsidRPr="00F7363C">
              <w:rPr>
                <w:rFonts w:eastAsia="Times New Roman"/>
                <w:bCs/>
                <w:sz w:val="12"/>
                <w:szCs w:val="12"/>
              </w:rPr>
              <w:t>Pertumbuhan Aset</w:t>
            </w:r>
            <w:r w:rsidRPr="00F7363C">
              <w:rPr>
                <w:rFonts w:eastAsia="Times New Roman"/>
                <w:bCs/>
                <w:sz w:val="12"/>
                <w:szCs w:val="12"/>
              </w:rPr>
              <w:tab/>
            </w:r>
          </w:p>
          <w:p w14:paraId="189DA853" w14:textId="77777777" w:rsidR="00F7363C" w:rsidRPr="00F7363C" w:rsidRDefault="00F7363C" w:rsidP="00E63A21">
            <w:pPr>
              <w:contextualSpacing/>
              <w:rPr>
                <w:rFonts w:eastAsia="Times New Roman"/>
                <w:bCs/>
                <w:sz w:val="12"/>
                <w:szCs w:val="12"/>
              </w:rPr>
            </w:pPr>
            <w:r w:rsidRPr="00F7363C">
              <w:rPr>
                <w:rFonts w:eastAsia="Times New Roman"/>
                <w:bCs/>
                <w:sz w:val="12"/>
                <w:szCs w:val="12"/>
              </w:rPr>
              <w:t xml:space="preserve"> </w:t>
            </w:r>
            <m:oMath>
              <m:f>
                <m:fPr>
                  <m:ctrlPr>
                    <w:rPr>
                      <w:rFonts w:ascii="Cambria Math" w:eastAsia="Times New Roman" w:hAnsi="Cambria Math"/>
                      <w:bCs/>
                      <w:i/>
                      <w:sz w:val="12"/>
                      <w:szCs w:val="12"/>
                    </w:rPr>
                  </m:ctrlPr>
                </m:fPr>
                <m:num>
                  <m:r>
                    <m:rPr>
                      <m:nor/>
                    </m:rPr>
                    <w:rPr>
                      <w:rFonts w:eastAsia="Times New Roman"/>
                      <w:bCs/>
                      <w:sz w:val="12"/>
                      <w:szCs w:val="12"/>
                    </w:rPr>
                    <m:t>Total Asset-Total Asset-1</m:t>
                  </m:r>
                </m:num>
                <m:den>
                  <m:r>
                    <m:rPr>
                      <m:nor/>
                    </m:rPr>
                    <w:rPr>
                      <w:rFonts w:eastAsia="Times New Roman"/>
                      <w:bCs/>
                      <w:sz w:val="12"/>
                      <w:szCs w:val="12"/>
                    </w:rPr>
                    <m:t>Total Asset-1</m:t>
                  </m:r>
                </m:den>
              </m:f>
            </m:oMath>
          </w:p>
          <w:p w14:paraId="734F44CD" w14:textId="77777777" w:rsidR="00F7363C" w:rsidRPr="00F7363C" w:rsidRDefault="00F7363C" w:rsidP="00E63A21">
            <w:pPr>
              <w:jc w:val="both"/>
              <w:rPr>
                <w:b/>
                <w:bCs/>
                <w:color w:val="000000" w:themeColor="text1"/>
                <w:sz w:val="12"/>
                <w:szCs w:val="12"/>
              </w:rPr>
            </w:pPr>
          </w:p>
        </w:tc>
      </w:tr>
      <w:tr w:rsidR="00F7363C" w:rsidRPr="004947C0" w14:paraId="6CC4EC96" w14:textId="77777777" w:rsidTr="00F7363C">
        <w:trPr>
          <w:trHeight w:val="223"/>
          <w:jc w:val="center"/>
        </w:trPr>
        <w:tc>
          <w:tcPr>
            <w:tcW w:w="357" w:type="dxa"/>
          </w:tcPr>
          <w:p w14:paraId="40BDA6B2" w14:textId="77777777" w:rsidR="00F7363C" w:rsidRPr="00F7363C" w:rsidRDefault="00F7363C" w:rsidP="00E63A21">
            <w:pPr>
              <w:jc w:val="both"/>
              <w:rPr>
                <w:b/>
                <w:bCs/>
                <w:color w:val="000000" w:themeColor="text1"/>
                <w:sz w:val="12"/>
                <w:szCs w:val="12"/>
              </w:rPr>
            </w:pPr>
            <w:r w:rsidRPr="00F7363C">
              <w:rPr>
                <w:b/>
                <w:bCs/>
                <w:color w:val="000000" w:themeColor="text1"/>
                <w:sz w:val="12"/>
                <w:szCs w:val="12"/>
              </w:rPr>
              <w:t>6.</w:t>
            </w:r>
          </w:p>
        </w:tc>
        <w:tc>
          <w:tcPr>
            <w:tcW w:w="890" w:type="dxa"/>
          </w:tcPr>
          <w:p w14:paraId="46B0E19E" w14:textId="77777777" w:rsidR="00F7363C" w:rsidRPr="00F7363C" w:rsidRDefault="00F7363C" w:rsidP="00E63A21">
            <w:pPr>
              <w:jc w:val="both"/>
              <w:rPr>
                <w:color w:val="000000" w:themeColor="text1"/>
                <w:sz w:val="12"/>
                <w:szCs w:val="12"/>
              </w:rPr>
            </w:pPr>
            <w:r w:rsidRPr="00F7363C">
              <w:rPr>
                <w:sz w:val="12"/>
                <w:szCs w:val="12"/>
              </w:rPr>
              <w:t>Leverage (DAR)</w:t>
            </w:r>
          </w:p>
        </w:tc>
        <w:tc>
          <w:tcPr>
            <w:tcW w:w="1988" w:type="dxa"/>
          </w:tcPr>
          <w:p w14:paraId="0ACC33E8" w14:textId="77777777" w:rsidR="00F7363C" w:rsidRPr="00F7363C" w:rsidRDefault="00F7363C" w:rsidP="00E63A21">
            <w:pPr>
              <w:ind w:hanging="9"/>
              <w:jc w:val="both"/>
              <w:rPr>
                <w:sz w:val="12"/>
                <w:szCs w:val="12"/>
              </w:rPr>
            </w:pPr>
            <w:r w:rsidRPr="00F7363C">
              <w:rPr>
                <w:sz w:val="12"/>
                <w:szCs w:val="12"/>
              </w:rPr>
              <w:t>Debt to Asset Ratio (DAR) merupakan rasio mengenai kemampuan perusahaan untuk membayar seluruh hutangnya dengan mempergunakan seluruh asset yang dimiliki</w:t>
            </w:r>
          </w:p>
        </w:tc>
        <w:tc>
          <w:tcPr>
            <w:tcW w:w="1079" w:type="dxa"/>
          </w:tcPr>
          <w:p w14:paraId="56F00606" w14:textId="77777777" w:rsidR="00F7363C" w:rsidRPr="00F7363C" w:rsidRDefault="00F7363C" w:rsidP="00E63A21">
            <w:pPr>
              <w:contextualSpacing/>
              <w:rPr>
                <w:sz w:val="12"/>
                <w:szCs w:val="12"/>
              </w:rPr>
            </w:pPr>
            <w:r w:rsidRPr="00F7363C">
              <w:rPr>
                <w:sz w:val="12"/>
                <w:szCs w:val="12"/>
              </w:rPr>
              <w:t xml:space="preserve">Debt to Asset Ratio = </w:t>
            </w:r>
          </w:p>
          <w:p w14:paraId="5123FD9A" w14:textId="77777777" w:rsidR="00F7363C" w:rsidRPr="00F7363C" w:rsidRDefault="00BD638E" w:rsidP="00E63A21">
            <w:pPr>
              <w:contextualSpacing/>
              <w:rPr>
                <w:rFonts w:eastAsia="Times New Roman"/>
                <w:bCs/>
                <w:sz w:val="12"/>
                <w:szCs w:val="12"/>
              </w:rPr>
            </w:pPr>
            <m:oMathPara>
              <m:oMath>
                <m:f>
                  <m:fPr>
                    <m:ctrlPr>
                      <w:rPr>
                        <w:rFonts w:ascii="Cambria Math" w:eastAsia="Times New Roman" w:hAnsi="Cambria Math"/>
                        <w:bCs/>
                        <w:i/>
                        <w:sz w:val="12"/>
                        <w:szCs w:val="12"/>
                      </w:rPr>
                    </m:ctrlPr>
                  </m:fPr>
                  <m:num>
                    <m:r>
                      <w:rPr>
                        <w:rFonts w:ascii="Cambria Math" w:eastAsia="Times New Roman" w:hAnsi="Cambria Math"/>
                        <w:sz w:val="12"/>
                        <w:szCs w:val="12"/>
                      </w:rPr>
                      <m:t>Total hutang</m:t>
                    </m:r>
                  </m:num>
                  <m:den>
                    <m:r>
                      <w:rPr>
                        <w:rFonts w:ascii="Cambria Math" w:eastAsia="Times New Roman" w:hAnsi="Cambria Math"/>
                        <w:sz w:val="12"/>
                        <w:szCs w:val="12"/>
                      </w:rPr>
                      <m:t>total aset</m:t>
                    </m:r>
                  </m:den>
                </m:f>
              </m:oMath>
            </m:oMathPara>
          </w:p>
        </w:tc>
      </w:tr>
    </w:tbl>
    <w:p w14:paraId="510367B6" w14:textId="0AAE8E1B" w:rsidR="00F7363C" w:rsidRDefault="00F7363C" w:rsidP="00F7363C">
      <w:pPr>
        <w:pStyle w:val="ListParagraph"/>
        <w:spacing w:after="0"/>
        <w:ind w:left="709" w:hanging="709"/>
        <w:jc w:val="both"/>
        <w:rPr>
          <w:szCs w:val="20"/>
        </w:rPr>
      </w:pPr>
    </w:p>
    <w:p w14:paraId="3CCC45E9" w14:textId="77777777" w:rsidR="00D6763D" w:rsidRPr="00D6763D" w:rsidRDefault="00D6763D" w:rsidP="00D6763D">
      <w:pPr>
        <w:numPr>
          <w:ilvl w:val="0"/>
          <w:numId w:val="1"/>
        </w:numPr>
        <w:autoSpaceDE w:val="0"/>
        <w:autoSpaceDN w:val="0"/>
        <w:adjustRightInd w:val="0"/>
        <w:spacing w:before="120" w:after="60" w:line="240" w:lineRule="auto"/>
        <w:ind w:left="425" w:hanging="425"/>
        <w:jc w:val="both"/>
        <w:rPr>
          <w:b/>
          <w:szCs w:val="20"/>
        </w:rPr>
      </w:pPr>
      <w:r w:rsidRPr="00D6763D">
        <w:rPr>
          <w:b/>
          <w:szCs w:val="20"/>
        </w:rPr>
        <w:t>Hasil Penelitian dan Pembahasan</w:t>
      </w:r>
    </w:p>
    <w:p w14:paraId="03A2DC28" w14:textId="77777777" w:rsidR="00D6763D" w:rsidRPr="00D6763D" w:rsidRDefault="00D6763D" w:rsidP="00D6763D">
      <w:pPr>
        <w:pStyle w:val="ListParagraph"/>
        <w:numPr>
          <w:ilvl w:val="0"/>
          <w:numId w:val="10"/>
        </w:numPr>
        <w:autoSpaceDE w:val="0"/>
        <w:autoSpaceDN w:val="0"/>
        <w:adjustRightInd w:val="0"/>
        <w:spacing w:before="120" w:after="0"/>
        <w:jc w:val="both"/>
        <w:rPr>
          <w:b/>
          <w:i/>
          <w:vanish/>
          <w:szCs w:val="20"/>
          <w:lang w:val="en-US"/>
        </w:rPr>
      </w:pPr>
    </w:p>
    <w:p w14:paraId="19E49C36" w14:textId="2B7BC524" w:rsidR="00D6763D" w:rsidRPr="00D6763D" w:rsidRDefault="00F34BC1" w:rsidP="00D6763D">
      <w:pPr>
        <w:pStyle w:val="ListParagraph"/>
        <w:widowControl w:val="0"/>
        <w:numPr>
          <w:ilvl w:val="1"/>
          <w:numId w:val="10"/>
        </w:numPr>
        <w:autoSpaceDE w:val="0"/>
        <w:autoSpaceDN w:val="0"/>
        <w:adjustRightInd w:val="0"/>
        <w:spacing w:after="60" w:line="240" w:lineRule="auto"/>
        <w:ind w:left="426"/>
        <w:jc w:val="both"/>
        <w:rPr>
          <w:color w:val="000000"/>
          <w:w w:val="102"/>
          <w:szCs w:val="20"/>
        </w:rPr>
      </w:pPr>
      <w:r w:rsidRPr="00F34BC1">
        <w:rPr>
          <w:color w:val="000000"/>
          <w:w w:val="102"/>
          <w:szCs w:val="20"/>
        </w:rPr>
        <w:t>Statistik Deskriptif</w:t>
      </w:r>
    </w:p>
    <w:p w14:paraId="72498780" w14:textId="77777777" w:rsidR="00D6763D" w:rsidRPr="00D6763D" w:rsidRDefault="00D6763D" w:rsidP="00D6763D">
      <w:pPr>
        <w:pStyle w:val="NoSpacing"/>
        <w:rPr>
          <w:rFonts w:ascii="Times New Roman" w:hAnsi="Times New Roman"/>
          <w:b/>
          <w:bCs/>
          <w:sz w:val="20"/>
          <w:szCs w:val="20"/>
        </w:rPr>
      </w:pPr>
      <w:r w:rsidRPr="00D6763D">
        <w:rPr>
          <w:rFonts w:ascii="Times New Roman" w:hAnsi="Times New Roman"/>
          <w:b/>
          <w:bCs/>
          <w:sz w:val="20"/>
          <w:szCs w:val="20"/>
        </w:rPr>
        <w:t>Sample of Table format</w:t>
      </w:r>
    </w:p>
    <w:p w14:paraId="09E02912" w14:textId="1E07514B" w:rsidR="00D6763D" w:rsidRPr="00D6763D" w:rsidRDefault="00D6763D" w:rsidP="00D6763D">
      <w:pPr>
        <w:pStyle w:val="Caption"/>
        <w:spacing w:after="60" w:line="240" w:lineRule="auto"/>
        <w:jc w:val="center"/>
        <w:rPr>
          <w:b w:val="0"/>
          <w:bCs w:val="0"/>
          <w:color w:val="000000"/>
          <w:w w:val="102"/>
        </w:rPr>
      </w:pPr>
      <w:r w:rsidRPr="00D6763D">
        <w:rPr>
          <w:color w:val="000000"/>
          <w:w w:val="102"/>
        </w:rPr>
        <w:t xml:space="preserve">Tabel </w:t>
      </w:r>
      <w:r w:rsidR="00F34BC1">
        <w:rPr>
          <w:color w:val="000000"/>
          <w:w w:val="102"/>
        </w:rPr>
        <w:t>2</w:t>
      </w:r>
      <w:r w:rsidRPr="00D6763D">
        <w:rPr>
          <w:color w:val="000000"/>
          <w:w w:val="102"/>
        </w:rPr>
        <w:t>.</w:t>
      </w:r>
      <w:r w:rsidRPr="00D6763D">
        <w:rPr>
          <w:b w:val="0"/>
          <w:bCs w:val="0"/>
          <w:color w:val="000000"/>
          <w:w w:val="102"/>
        </w:rPr>
        <w:t xml:space="preserve"> Deskripsi sampel penelitian</w:t>
      </w:r>
    </w:p>
    <w:tbl>
      <w:tblPr>
        <w:tblW w:w="5187" w:type="dxa"/>
        <w:tblInd w:w="30" w:type="dxa"/>
        <w:tblLayout w:type="fixed"/>
        <w:tblCellMar>
          <w:left w:w="30" w:type="dxa"/>
          <w:right w:w="30" w:type="dxa"/>
        </w:tblCellMar>
        <w:tblLook w:val="0000" w:firstRow="0" w:lastRow="0" w:firstColumn="0" w:lastColumn="0" w:noHBand="0" w:noVBand="0"/>
      </w:tblPr>
      <w:tblGrid>
        <w:gridCol w:w="825"/>
        <w:gridCol w:w="727"/>
        <w:gridCol w:w="727"/>
        <w:gridCol w:w="727"/>
        <w:gridCol w:w="727"/>
        <w:gridCol w:w="727"/>
        <w:gridCol w:w="727"/>
      </w:tblGrid>
      <w:tr w:rsidR="00F34BC1" w14:paraId="65AD887A" w14:textId="77777777" w:rsidTr="00F34BC1">
        <w:trPr>
          <w:trHeight w:val="180"/>
        </w:trPr>
        <w:tc>
          <w:tcPr>
            <w:tcW w:w="825" w:type="dxa"/>
            <w:tcBorders>
              <w:top w:val="nil"/>
              <w:left w:val="nil"/>
              <w:bottom w:val="nil"/>
              <w:right w:val="nil"/>
            </w:tcBorders>
            <w:vAlign w:val="bottom"/>
          </w:tcPr>
          <w:p w14:paraId="48BC7F08"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bookmarkStart w:id="1" w:name="_Hlk123131190"/>
          </w:p>
        </w:tc>
        <w:tc>
          <w:tcPr>
            <w:tcW w:w="727" w:type="dxa"/>
            <w:tcBorders>
              <w:top w:val="nil"/>
              <w:left w:val="nil"/>
              <w:bottom w:val="nil"/>
              <w:right w:val="nil"/>
            </w:tcBorders>
            <w:vAlign w:val="bottom"/>
          </w:tcPr>
          <w:p w14:paraId="0262251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OAG</w:t>
            </w:r>
          </w:p>
        </w:tc>
        <w:tc>
          <w:tcPr>
            <w:tcW w:w="727" w:type="dxa"/>
            <w:tcBorders>
              <w:top w:val="nil"/>
              <w:left w:val="nil"/>
              <w:bottom w:val="nil"/>
              <w:right w:val="nil"/>
            </w:tcBorders>
            <w:vAlign w:val="bottom"/>
          </w:tcPr>
          <w:p w14:paraId="0A36566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UKP</w:t>
            </w:r>
          </w:p>
        </w:tc>
        <w:tc>
          <w:tcPr>
            <w:tcW w:w="727" w:type="dxa"/>
            <w:tcBorders>
              <w:top w:val="nil"/>
              <w:left w:val="nil"/>
              <w:bottom w:val="nil"/>
              <w:right w:val="nil"/>
            </w:tcBorders>
            <w:vAlign w:val="bottom"/>
          </w:tcPr>
          <w:p w14:paraId="619E505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CR</w:t>
            </w:r>
          </w:p>
        </w:tc>
        <w:tc>
          <w:tcPr>
            <w:tcW w:w="727" w:type="dxa"/>
            <w:tcBorders>
              <w:top w:val="nil"/>
              <w:left w:val="nil"/>
              <w:bottom w:val="nil"/>
              <w:right w:val="nil"/>
            </w:tcBorders>
            <w:vAlign w:val="bottom"/>
          </w:tcPr>
          <w:p w14:paraId="117DFC8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ROA</w:t>
            </w:r>
          </w:p>
        </w:tc>
        <w:tc>
          <w:tcPr>
            <w:tcW w:w="727" w:type="dxa"/>
            <w:tcBorders>
              <w:top w:val="nil"/>
              <w:left w:val="nil"/>
              <w:bottom w:val="nil"/>
              <w:right w:val="nil"/>
            </w:tcBorders>
            <w:vAlign w:val="bottom"/>
          </w:tcPr>
          <w:p w14:paraId="294DC885"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GRWT</w:t>
            </w:r>
          </w:p>
        </w:tc>
        <w:tc>
          <w:tcPr>
            <w:tcW w:w="727" w:type="dxa"/>
            <w:tcBorders>
              <w:top w:val="nil"/>
              <w:left w:val="nil"/>
              <w:bottom w:val="nil"/>
              <w:right w:val="nil"/>
            </w:tcBorders>
            <w:vAlign w:val="bottom"/>
          </w:tcPr>
          <w:p w14:paraId="28126B5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DAR</w:t>
            </w:r>
          </w:p>
        </w:tc>
      </w:tr>
      <w:tr w:rsidR="00F34BC1" w14:paraId="191A19EE" w14:textId="77777777" w:rsidTr="00F34BC1">
        <w:trPr>
          <w:trHeight w:val="180"/>
        </w:trPr>
        <w:tc>
          <w:tcPr>
            <w:tcW w:w="825" w:type="dxa"/>
            <w:tcBorders>
              <w:top w:val="nil"/>
              <w:left w:val="nil"/>
              <w:bottom w:val="nil"/>
              <w:right w:val="nil"/>
            </w:tcBorders>
            <w:vAlign w:val="bottom"/>
          </w:tcPr>
          <w:p w14:paraId="4D59AB47"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Mean</w:t>
            </w:r>
          </w:p>
        </w:tc>
        <w:tc>
          <w:tcPr>
            <w:tcW w:w="727" w:type="dxa"/>
            <w:tcBorders>
              <w:top w:val="nil"/>
              <w:left w:val="nil"/>
              <w:bottom w:val="nil"/>
              <w:right w:val="nil"/>
            </w:tcBorders>
            <w:vAlign w:val="bottom"/>
          </w:tcPr>
          <w:p w14:paraId="040C9F6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0.828571</w:t>
            </w:r>
          </w:p>
        </w:tc>
        <w:tc>
          <w:tcPr>
            <w:tcW w:w="727" w:type="dxa"/>
            <w:tcBorders>
              <w:top w:val="nil"/>
              <w:left w:val="nil"/>
              <w:bottom w:val="nil"/>
              <w:right w:val="nil"/>
            </w:tcBorders>
            <w:vAlign w:val="bottom"/>
          </w:tcPr>
          <w:p w14:paraId="734C1FB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19.50177</w:t>
            </w:r>
          </w:p>
        </w:tc>
        <w:tc>
          <w:tcPr>
            <w:tcW w:w="727" w:type="dxa"/>
            <w:tcBorders>
              <w:top w:val="nil"/>
              <w:left w:val="nil"/>
              <w:bottom w:val="nil"/>
              <w:right w:val="nil"/>
            </w:tcBorders>
            <w:vAlign w:val="bottom"/>
          </w:tcPr>
          <w:p w14:paraId="4A6A7006"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2.318582</w:t>
            </w:r>
          </w:p>
        </w:tc>
        <w:tc>
          <w:tcPr>
            <w:tcW w:w="727" w:type="dxa"/>
            <w:tcBorders>
              <w:top w:val="nil"/>
              <w:left w:val="nil"/>
              <w:bottom w:val="nil"/>
              <w:right w:val="nil"/>
            </w:tcBorders>
            <w:vAlign w:val="bottom"/>
          </w:tcPr>
          <w:p w14:paraId="7058726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-0.559148</w:t>
            </w:r>
          </w:p>
        </w:tc>
        <w:tc>
          <w:tcPr>
            <w:tcW w:w="727" w:type="dxa"/>
            <w:tcBorders>
              <w:top w:val="nil"/>
              <w:left w:val="nil"/>
              <w:bottom w:val="nil"/>
              <w:right w:val="nil"/>
            </w:tcBorders>
            <w:vAlign w:val="bottom"/>
          </w:tcPr>
          <w:p w14:paraId="0C2A3D5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0.009591</w:t>
            </w:r>
          </w:p>
        </w:tc>
        <w:tc>
          <w:tcPr>
            <w:tcW w:w="727" w:type="dxa"/>
            <w:tcBorders>
              <w:top w:val="nil"/>
              <w:left w:val="nil"/>
              <w:bottom w:val="nil"/>
              <w:right w:val="nil"/>
            </w:tcBorders>
            <w:vAlign w:val="bottom"/>
          </w:tcPr>
          <w:p w14:paraId="4B806E73"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17.28777</w:t>
            </w:r>
          </w:p>
        </w:tc>
      </w:tr>
      <w:tr w:rsidR="00F34BC1" w14:paraId="0A76D62E" w14:textId="77777777" w:rsidTr="00F34BC1">
        <w:trPr>
          <w:trHeight w:val="180"/>
        </w:trPr>
        <w:tc>
          <w:tcPr>
            <w:tcW w:w="825" w:type="dxa"/>
            <w:tcBorders>
              <w:top w:val="nil"/>
              <w:left w:val="nil"/>
              <w:bottom w:val="nil"/>
              <w:right w:val="nil"/>
            </w:tcBorders>
            <w:vAlign w:val="bottom"/>
          </w:tcPr>
          <w:p w14:paraId="1961855F"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Median</w:t>
            </w:r>
          </w:p>
        </w:tc>
        <w:tc>
          <w:tcPr>
            <w:tcW w:w="727" w:type="dxa"/>
            <w:tcBorders>
              <w:top w:val="nil"/>
              <w:left w:val="nil"/>
              <w:bottom w:val="nil"/>
              <w:right w:val="nil"/>
            </w:tcBorders>
            <w:vAlign w:val="bottom"/>
          </w:tcPr>
          <w:p w14:paraId="4D46530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1.000000</w:t>
            </w:r>
          </w:p>
        </w:tc>
        <w:tc>
          <w:tcPr>
            <w:tcW w:w="727" w:type="dxa"/>
            <w:tcBorders>
              <w:top w:val="nil"/>
              <w:left w:val="nil"/>
              <w:bottom w:val="nil"/>
              <w:right w:val="nil"/>
            </w:tcBorders>
            <w:vAlign w:val="bottom"/>
          </w:tcPr>
          <w:p w14:paraId="1DECBC6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17.16677</w:t>
            </w:r>
          </w:p>
        </w:tc>
        <w:tc>
          <w:tcPr>
            <w:tcW w:w="727" w:type="dxa"/>
            <w:tcBorders>
              <w:top w:val="nil"/>
              <w:left w:val="nil"/>
              <w:bottom w:val="nil"/>
              <w:right w:val="nil"/>
            </w:tcBorders>
            <w:vAlign w:val="bottom"/>
          </w:tcPr>
          <w:p w14:paraId="1E050C2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1.080749</w:t>
            </w:r>
          </w:p>
        </w:tc>
        <w:tc>
          <w:tcPr>
            <w:tcW w:w="727" w:type="dxa"/>
            <w:tcBorders>
              <w:top w:val="nil"/>
              <w:left w:val="nil"/>
              <w:bottom w:val="nil"/>
              <w:right w:val="nil"/>
            </w:tcBorders>
            <w:vAlign w:val="bottom"/>
          </w:tcPr>
          <w:p w14:paraId="42B0A96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0.932290</w:t>
            </w:r>
          </w:p>
        </w:tc>
        <w:tc>
          <w:tcPr>
            <w:tcW w:w="727" w:type="dxa"/>
            <w:tcBorders>
              <w:top w:val="nil"/>
              <w:left w:val="nil"/>
              <w:bottom w:val="nil"/>
              <w:right w:val="nil"/>
            </w:tcBorders>
            <w:vAlign w:val="bottom"/>
          </w:tcPr>
          <w:p w14:paraId="0E5FE82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0.021290</w:t>
            </w:r>
          </w:p>
        </w:tc>
        <w:tc>
          <w:tcPr>
            <w:tcW w:w="727" w:type="dxa"/>
            <w:tcBorders>
              <w:top w:val="nil"/>
              <w:left w:val="nil"/>
              <w:bottom w:val="nil"/>
              <w:right w:val="nil"/>
            </w:tcBorders>
            <w:vAlign w:val="bottom"/>
          </w:tcPr>
          <w:p w14:paraId="105AE7AF"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0.578376</w:t>
            </w:r>
          </w:p>
        </w:tc>
      </w:tr>
      <w:tr w:rsidR="00F34BC1" w14:paraId="1E270307" w14:textId="77777777" w:rsidTr="00F34BC1">
        <w:trPr>
          <w:trHeight w:val="180"/>
        </w:trPr>
        <w:tc>
          <w:tcPr>
            <w:tcW w:w="825" w:type="dxa"/>
            <w:tcBorders>
              <w:top w:val="nil"/>
              <w:left w:val="nil"/>
              <w:bottom w:val="nil"/>
              <w:right w:val="nil"/>
            </w:tcBorders>
            <w:vAlign w:val="bottom"/>
          </w:tcPr>
          <w:p w14:paraId="0C035FA2"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Maximum</w:t>
            </w:r>
          </w:p>
        </w:tc>
        <w:tc>
          <w:tcPr>
            <w:tcW w:w="727" w:type="dxa"/>
            <w:tcBorders>
              <w:top w:val="nil"/>
              <w:left w:val="nil"/>
              <w:bottom w:val="nil"/>
              <w:right w:val="nil"/>
            </w:tcBorders>
            <w:vAlign w:val="bottom"/>
          </w:tcPr>
          <w:p w14:paraId="787870D0"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1.000000</w:t>
            </w:r>
          </w:p>
        </w:tc>
        <w:tc>
          <w:tcPr>
            <w:tcW w:w="727" w:type="dxa"/>
            <w:tcBorders>
              <w:top w:val="nil"/>
              <w:left w:val="nil"/>
              <w:bottom w:val="nil"/>
              <w:right w:val="nil"/>
            </w:tcBorders>
            <w:vAlign w:val="bottom"/>
          </w:tcPr>
          <w:p w14:paraId="3F8CC6C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28.88199</w:t>
            </w:r>
          </w:p>
        </w:tc>
        <w:tc>
          <w:tcPr>
            <w:tcW w:w="727" w:type="dxa"/>
            <w:tcBorders>
              <w:top w:val="nil"/>
              <w:left w:val="nil"/>
              <w:bottom w:val="nil"/>
              <w:right w:val="nil"/>
            </w:tcBorders>
            <w:vAlign w:val="bottom"/>
          </w:tcPr>
          <w:p w14:paraId="16B2E42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22.42533</w:t>
            </w:r>
          </w:p>
        </w:tc>
        <w:tc>
          <w:tcPr>
            <w:tcW w:w="727" w:type="dxa"/>
            <w:tcBorders>
              <w:top w:val="nil"/>
              <w:left w:val="nil"/>
              <w:bottom w:val="nil"/>
              <w:right w:val="nil"/>
            </w:tcBorders>
            <w:vAlign w:val="bottom"/>
          </w:tcPr>
          <w:p w14:paraId="67E7DC3F"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68.08623</w:t>
            </w:r>
          </w:p>
        </w:tc>
        <w:tc>
          <w:tcPr>
            <w:tcW w:w="727" w:type="dxa"/>
            <w:tcBorders>
              <w:top w:val="nil"/>
              <w:left w:val="nil"/>
              <w:bottom w:val="nil"/>
              <w:right w:val="nil"/>
            </w:tcBorders>
            <w:vAlign w:val="bottom"/>
          </w:tcPr>
          <w:p w14:paraId="44F9578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0.735217</w:t>
            </w:r>
          </w:p>
        </w:tc>
        <w:tc>
          <w:tcPr>
            <w:tcW w:w="727" w:type="dxa"/>
            <w:tcBorders>
              <w:top w:val="nil"/>
              <w:left w:val="nil"/>
              <w:bottom w:val="nil"/>
              <w:right w:val="nil"/>
            </w:tcBorders>
            <w:vAlign w:val="bottom"/>
          </w:tcPr>
          <w:p w14:paraId="2CA0569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610.4484</w:t>
            </w:r>
          </w:p>
        </w:tc>
      </w:tr>
      <w:tr w:rsidR="00F34BC1" w14:paraId="3C1A73B0" w14:textId="77777777" w:rsidTr="00F34BC1">
        <w:trPr>
          <w:trHeight w:val="180"/>
        </w:trPr>
        <w:tc>
          <w:tcPr>
            <w:tcW w:w="825" w:type="dxa"/>
            <w:tcBorders>
              <w:top w:val="nil"/>
              <w:left w:val="nil"/>
              <w:bottom w:val="nil"/>
              <w:right w:val="nil"/>
            </w:tcBorders>
            <w:vAlign w:val="bottom"/>
          </w:tcPr>
          <w:p w14:paraId="59ABD60B"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Minimum</w:t>
            </w:r>
          </w:p>
        </w:tc>
        <w:tc>
          <w:tcPr>
            <w:tcW w:w="727" w:type="dxa"/>
            <w:tcBorders>
              <w:top w:val="nil"/>
              <w:left w:val="nil"/>
              <w:bottom w:val="nil"/>
              <w:right w:val="nil"/>
            </w:tcBorders>
            <w:vAlign w:val="bottom"/>
          </w:tcPr>
          <w:p w14:paraId="303F4E2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0.000000</w:t>
            </w:r>
          </w:p>
        </w:tc>
        <w:tc>
          <w:tcPr>
            <w:tcW w:w="727" w:type="dxa"/>
            <w:tcBorders>
              <w:top w:val="nil"/>
              <w:left w:val="nil"/>
              <w:bottom w:val="nil"/>
              <w:right w:val="nil"/>
            </w:tcBorders>
            <w:vAlign w:val="bottom"/>
          </w:tcPr>
          <w:p w14:paraId="07A6B03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14.48151</w:t>
            </w:r>
          </w:p>
        </w:tc>
        <w:tc>
          <w:tcPr>
            <w:tcW w:w="727" w:type="dxa"/>
            <w:tcBorders>
              <w:top w:val="nil"/>
              <w:left w:val="nil"/>
              <w:bottom w:val="nil"/>
              <w:right w:val="nil"/>
            </w:tcBorders>
            <w:vAlign w:val="bottom"/>
          </w:tcPr>
          <w:p w14:paraId="20C34410"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0.000416</w:t>
            </w:r>
          </w:p>
        </w:tc>
        <w:tc>
          <w:tcPr>
            <w:tcW w:w="727" w:type="dxa"/>
            <w:tcBorders>
              <w:top w:val="nil"/>
              <w:left w:val="nil"/>
              <w:bottom w:val="nil"/>
              <w:right w:val="nil"/>
            </w:tcBorders>
            <w:vAlign w:val="bottom"/>
          </w:tcPr>
          <w:p w14:paraId="7E16ECF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-58.67169</w:t>
            </w:r>
          </w:p>
        </w:tc>
        <w:tc>
          <w:tcPr>
            <w:tcW w:w="727" w:type="dxa"/>
            <w:tcBorders>
              <w:top w:val="nil"/>
              <w:left w:val="nil"/>
              <w:bottom w:val="nil"/>
              <w:right w:val="nil"/>
            </w:tcBorders>
            <w:vAlign w:val="bottom"/>
          </w:tcPr>
          <w:p w14:paraId="508E4AD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-0.998950</w:t>
            </w:r>
          </w:p>
        </w:tc>
        <w:tc>
          <w:tcPr>
            <w:tcW w:w="727" w:type="dxa"/>
            <w:tcBorders>
              <w:top w:val="nil"/>
              <w:left w:val="nil"/>
              <w:bottom w:val="nil"/>
              <w:right w:val="nil"/>
            </w:tcBorders>
            <w:vAlign w:val="bottom"/>
          </w:tcPr>
          <w:p w14:paraId="7DDA55C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0.013164</w:t>
            </w:r>
          </w:p>
        </w:tc>
      </w:tr>
      <w:tr w:rsidR="00F34BC1" w14:paraId="4C9946BA" w14:textId="77777777" w:rsidTr="00F34BC1">
        <w:trPr>
          <w:trHeight w:val="180"/>
        </w:trPr>
        <w:tc>
          <w:tcPr>
            <w:tcW w:w="825" w:type="dxa"/>
            <w:tcBorders>
              <w:top w:val="nil"/>
              <w:left w:val="nil"/>
              <w:bottom w:val="nil"/>
              <w:right w:val="nil"/>
            </w:tcBorders>
            <w:vAlign w:val="bottom"/>
          </w:tcPr>
          <w:p w14:paraId="5DD4F516"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Std. Dev.</w:t>
            </w:r>
          </w:p>
        </w:tc>
        <w:tc>
          <w:tcPr>
            <w:tcW w:w="727" w:type="dxa"/>
            <w:tcBorders>
              <w:top w:val="nil"/>
              <w:left w:val="nil"/>
              <w:bottom w:val="nil"/>
              <w:right w:val="nil"/>
            </w:tcBorders>
            <w:vAlign w:val="bottom"/>
          </w:tcPr>
          <w:p w14:paraId="4DCB3824"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0.379604</w:t>
            </w:r>
          </w:p>
        </w:tc>
        <w:tc>
          <w:tcPr>
            <w:tcW w:w="727" w:type="dxa"/>
            <w:tcBorders>
              <w:top w:val="nil"/>
              <w:left w:val="nil"/>
              <w:bottom w:val="nil"/>
              <w:right w:val="nil"/>
            </w:tcBorders>
            <w:vAlign w:val="bottom"/>
          </w:tcPr>
          <w:p w14:paraId="08358D2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4.371277</w:t>
            </w:r>
          </w:p>
        </w:tc>
        <w:tc>
          <w:tcPr>
            <w:tcW w:w="727" w:type="dxa"/>
            <w:tcBorders>
              <w:top w:val="nil"/>
              <w:left w:val="nil"/>
              <w:bottom w:val="nil"/>
              <w:right w:val="nil"/>
            </w:tcBorders>
            <w:vAlign w:val="bottom"/>
          </w:tcPr>
          <w:p w14:paraId="0975D7D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3.973664</w:t>
            </w:r>
          </w:p>
        </w:tc>
        <w:tc>
          <w:tcPr>
            <w:tcW w:w="727" w:type="dxa"/>
            <w:tcBorders>
              <w:top w:val="nil"/>
              <w:left w:val="nil"/>
              <w:bottom w:val="nil"/>
              <w:right w:val="nil"/>
            </w:tcBorders>
            <w:vAlign w:val="bottom"/>
          </w:tcPr>
          <w:p w14:paraId="08E6C49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16.59417</w:t>
            </w:r>
          </w:p>
        </w:tc>
        <w:tc>
          <w:tcPr>
            <w:tcW w:w="727" w:type="dxa"/>
            <w:tcBorders>
              <w:top w:val="nil"/>
              <w:left w:val="nil"/>
              <w:bottom w:val="nil"/>
              <w:right w:val="nil"/>
            </w:tcBorders>
            <w:vAlign w:val="bottom"/>
          </w:tcPr>
          <w:p w14:paraId="18110BD5"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0.213137</w:t>
            </w:r>
          </w:p>
        </w:tc>
        <w:tc>
          <w:tcPr>
            <w:tcW w:w="727" w:type="dxa"/>
            <w:tcBorders>
              <w:top w:val="nil"/>
              <w:left w:val="nil"/>
              <w:bottom w:val="nil"/>
              <w:right w:val="nil"/>
            </w:tcBorders>
            <w:vAlign w:val="bottom"/>
          </w:tcPr>
          <w:p w14:paraId="60FFB395"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98.30933</w:t>
            </w:r>
          </w:p>
        </w:tc>
      </w:tr>
      <w:tr w:rsidR="00F34BC1" w14:paraId="5F4F127A" w14:textId="77777777" w:rsidTr="00F34BC1">
        <w:trPr>
          <w:trHeight w:val="180"/>
        </w:trPr>
        <w:tc>
          <w:tcPr>
            <w:tcW w:w="825" w:type="dxa"/>
            <w:tcBorders>
              <w:top w:val="nil"/>
              <w:left w:val="nil"/>
              <w:bottom w:val="nil"/>
              <w:right w:val="nil"/>
            </w:tcBorders>
            <w:vAlign w:val="bottom"/>
          </w:tcPr>
          <w:p w14:paraId="2F3B211E"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Skewness</w:t>
            </w:r>
          </w:p>
        </w:tc>
        <w:tc>
          <w:tcPr>
            <w:tcW w:w="727" w:type="dxa"/>
            <w:tcBorders>
              <w:top w:val="nil"/>
              <w:left w:val="nil"/>
              <w:bottom w:val="nil"/>
              <w:right w:val="nil"/>
            </w:tcBorders>
            <w:vAlign w:val="bottom"/>
          </w:tcPr>
          <w:p w14:paraId="0A7243AF"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-1.743626</w:t>
            </w:r>
          </w:p>
        </w:tc>
        <w:tc>
          <w:tcPr>
            <w:tcW w:w="727" w:type="dxa"/>
            <w:tcBorders>
              <w:top w:val="nil"/>
              <w:left w:val="nil"/>
              <w:bottom w:val="nil"/>
              <w:right w:val="nil"/>
            </w:tcBorders>
            <w:vAlign w:val="bottom"/>
          </w:tcPr>
          <w:p w14:paraId="5C9B4480"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1.018035</w:t>
            </w:r>
          </w:p>
        </w:tc>
        <w:tc>
          <w:tcPr>
            <w:tcW w:w="727" w:type="dxa"/>
            <w:tcBorders>
              <w:top w:val="nil"/>
              <w:left w:val="nil"/>
              <w:bottom w:val="nil"/>
              <w:right w:val="nil"/>
            </w:tcBorders>
            <w:vAlign w:val="bottom"/>
          </w:tcPr>
          <w:p w14:paraId="4B9FB79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3.533892</w:t>
            </w:r>
          </w:p>
        </w:tc>
        <w:tc>
          <w:tcPr>
            <w:tcW w:w="727" w:type="dxa"/>
            <w:tcBorders>
              <w:top w:val="nil"/>
              <w:left w:val="nil"/>
              <w:bottom w:val="nil"/>
              <w:right w:val="nil"/>
            </w:tcBorders>
            <w:vAlign w:val="bottom"/>
          </w:tcPr>
          <w:p w14:paraId="49540F6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0.248320</w:t>
            </w:r>
          </w:p>
        </w:tc>
        <w:tc>
          <w:tcPr>
            <w:tcW w:w="727" w:type="dxa"/>
            <w:tcBorders>
              <w:top w:val="nil"/>
              <w:left w:val="nil"/>
              <w:bottom w:val="nil"/>
              <w:right w:val="nil"/>
            </w:tcBorders>
            <w:vAlign w:val="bottom"/>
          </w:tcPr>
          <w:p w14:paraId="38E0991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-1.291227</w:t>
            </w:r>
          </w:p>
        </w:tc>
        <w:tc>
          <w:tcPr>
            <w:tcW w:w="727" w:type="dxa"/>
            <w:tcBorders>
              <w:top w:val="nil"/>
              <w:left w:val="nil"/>
              <w:bottom w:val="nil"/>
              <w:right w:val="nil"/>
            </w:tcBorders>
            <w:vAlign w:val="bottom"/>
          </w:tcPr>
          <w:p w14:paraId="1B5D2487"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5.675615</w:t>
            </w:r>
          </w:p>
        </w:tc>
      </w:tr>
      <w:tr w:rsidR="00F34BC1" w14:paraId="60C8EB39" w14:textId="77777777" w:rsidTr="00F34BC1">
        <w:trPr>
          <w:trHeight w:val="180"/>
        </w:trPr>
        <w:tc>
          <w:tcPr>
            <w:tcW w:w="825" w:type="dxa"/>
            <w:tcBorders>
              <w:top w:val="nil"/>
              <w:left w:val="nil"/>
              <w:bottom w:val="nil"/>
              <w:right w:val="nil"/>
            </w:tcBorders>
            <w:vAlign w:val="bottom"/>
          </w:tcPr>
          <w:p w14:paraId="7784BE70"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Kurtosis</w:t>
            </w:r>
          </w:p>
        </w:tc>
        <w:tc>
          <w:tcPr>
            <w:tcW w:w="727" w:type="dxa"/>
            <w:tcBorders>
              <w:top w:val="nil"/>
              <w:left w:val="nil"/>
              <w:bottom w:val="nil"/>
              <w:right w:val="nil"/>
            </w:tcBorders>
            <w:vAlign w:val="bottom"/>
          </w:tcPr>
          <w:p w14:paraId="3A8AD303"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4.040230</w:t>
            </w:r>
          </w:p>
        </w:tc>
        <w:tc>
          <w:tcPr>
            <w:tcW w:w="727" w:type="dxa"/>
            <w:tcBorders>
              <w:top w:val="nil"/>
              <w:left w:val="nil"/>
              <w:bottom w:val="nil"/>
              <w:right w:val="nil"/>
            </w:tcBorders>
            <w:vAlign w:val="bottom"/>
          </w:tcPr>
          <w:p w14:paraId="7ACDEB8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2.750997</w:t>
            </w:r>
          </w:p>
        </w:tc>
        <w:tc>
          <w:tcPr>
            <w:tcW w:w="727" w:type="dxa"/>
            <w:tcBorders>
              <w:top w:val="nil"/>
              <w:left w:val="nil"/>
              <w:bottom w:val="nil"/>
              <w:right w:val="nil"/>
            </w:tcBorders>
            <w:vAlign w:val="bottom"/>
          </w:tcPr>
          <w:p w14:paraId="48D1D19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15.94764</w:t>
            </w:r>
          </w:p>
        </w:tc>
        <w:tc>
          <w:tcPr>
            <w:tcW w:w="727" w:type="dxa"/>
            <w:tcBorders>
              <w:top w:val="nil"/>
              <w:left w:val="nil"/>
              <w:bottom w:val="nil"/>
              <w:right w:val="nil"/>
            </w:tcBorders>
            <w:vAlign w:val="bottom"/>
          </w:tcPr>
          <w:p w14:paraId="34637523"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9.374525</w:t>
            </w:r>
          </w:p>
        </w:tc>
        <w:tc>
          <w:tcPr>
            <w:tcW w:w="727" w:type="dxa"/>
            <w:tcBorders>
              <w:top w:val="nil"/>
              <w:left w:val="nil"/>
              <w:bottom w:val="nil"/>
              <w:right w:val="nil"/>
            </w:tcBorders>
            <w:vAlign w:val="bottom"/>
          </w:tcPr>
          <w:p w14:paraId="66919847"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11.44434</w:t>
            </w:r>
          </w:p>
        </w:tc>
        <w:tc>
          <w:tcPr>
            <w:tcW w:w="727" w:type="dxa"/>
            <w:tcBorders>
              <w:top w:val="nil"/>
              <w:left w:val="nil"/>
              <w:bottom w:val="nil"/>
              <w:right w:val="nil"/>
            </w:tcBorders>
            <w:vAlign w:val="bottom"/>
          </w:tcPr>
          <w:p w14:paraId="7A8BD074"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33.27764</w:t>
            </w:r>
          </w:p>
        </w:tc>
      </w:tr>
      <w:tr w:rsidR="00F34BC1" w14:paraId="370426FA" w14:textId="77777777" w:rsidTr="00F34BC1">
        <w:trPr>
          <w:trHeight w:val="180"/>
        </w:trPr>
        <w:tc>
          <w:tcPr>
            <w:tcW w:w="825" w:type="dxa"/>
            <w:tcBorders>
              <w:top w:val="nil"/>
              <w:left w:val="nil"/>
              <w:bottom w:val="nil"/>
              <w:right w:val="nil"/>
            </w:tcBorders>
            <w:vAlign w:val="bottom"/>
          </w:tcPr>
          <w:p w14:paraId="16F4D7E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4A0C805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5CA4F40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3F33A47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3B3A1C5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3F5EE42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36640AE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r>
      <w:tr w:rsidR="00F34BC1" w14:paraId="0706A6C7" w14:textId="77777777" w:rsidTr="00F34BC1">
        <w:trPr>
          <w:trHeight w:val="180"/>
        </w:trPr>
        <w:tc>
          <w:tcPr>
            <w:tcW w:w="825" w:type="dxa"/>
            <w:tcBorders>
              <w:top w:val="nil"/>
              <w:left w:val="nil"/>
              <w:bottom w:val="nil"/>
              <w:right w:val="nil"/>
            </w:tcBorders>
            <w:vAlign w:val="bottom"/>
          </w:tcPr>
          <w:p w14:paraId="3558087B"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Jarque-Bera</w:t>
            </w:r>
          </w:p>
        </w:tc>
        <w:tc>
          <w:tcPr>
            <w:tcW w:w="727" w:type="dxa"/>
            <w:tcBorders>
              <w:top w:val="nil"/>
              <w:left w:val="nil"/>
              <w:bottom w:val="nil"/>
              <w:right w:val="nil"/>
            </w:tcBorders>
            <w:vAlign w:val="bottom"/>
          </w:tcPr>
          <w:p w14:paraId="0D4A315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38.62541</w:t>
            </w:r>
          </w:p>
        </w:tc>
        <w:tc>
          <w:tcPr>
            <w:tcW w:w="727" w:type="dxa"/>
            <w:tcBorders>
              <w:top w:val="nil"/>
              <w:left w:val="nil"/>
              <w:bottom w:val="nil"/>
              <w:right w:val="nil"/>
            </w:tcBorders>
            <w:vAlign w:val="bottom"/>
          </w:tcPr>
          <w:p w14:paraId="7253F4E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12.27213</w:t>
            </w:r>
          </w:p>
        </w:tc>
        <w:tc>
          <w:tcPr>
            <w:tcW w:w="727" w:type="dxa"/>
            <w:tcBorders>
              <w:top w:val="nil"/>
              <w:left w:val="nil"/>
              <w:bottom w:val="nil"/>
              <w:right w:val="nil"/>
            </w:tcBorders>
            <w:vAlign w:val="bottom"/>
          </w:tcPr>
          <w:p w14:paraId="19E820E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634.6517</w:t>
            </w:r>
          </w:p>
        </w:tc>
        <w:tc>
          <w:tcPr>
            <w:tcW w:w="727" w:type="dxa"/>
            <w:tcBorders>
              <w:top w:val="nil"/>
              <w:left w:val="nil"/>
              <w:bottom w:val="nil"/>
              <w:right w:val="nil"/>
            </w:tcBorders>
            <w:vAlign w:val="bottom"/>
          </w:tcPr>
          <w:p w14:paraId="7942507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119.2369</w:t>
            </w:r>
          </w:p>
        </w:tc>
        <w:tc>
          <w:tcPr>
            <w:tcW w:w="727" w:type="dxa"/>
            <w:tcBorders>
              <w:top w:val="nil"/>
              <w:left w:val="nil"/>
              <w:bottom w:val="nil"/>
              <w:right w:val="nil"/>
            </w:tcBorders>
            <w:vAlign w:val="bottom"/>
          </w:tcPr>
          <w:p w14:paraId="0015172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227.4300</w:t>
            </w:r>
          </w:p>
        </w:tc>
        <w:tc>
          <w:tcPr>
            <w:tcW w:w="727" w:type="dxa"/>
            <w:tcBorders>
              <w:top w:val="nil"/>
              <w:left w:val="nil"/>
              <w:bottom w:val="nil"/>
              <w:right w:val="nil"/>
            </w:tcBorders>
            <w:vAlign w:val="bottom"/>
          </w:tcPr>
          <w:p w14:paraId="4426292E"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3049.625</w:t>
            </w:r>
          </w:p>
        </w:tc>
      </w:tr>
      <w:tr w:rsidR="00F34BC1" w14:paraId="45418B4D" w14:textId="77777777" w:rsidTr="00F34BC1">
        <w:trPr>
          <w:trHeight w:val="180"/>
        </w:trPr>
        <w:tc>
          <w:tcPr>
            <w:tcW w:w="825" w:type="dxa"/>
            <w:tcBorders>
              <w:top w:val="nil"/>
              <w:left w:val="nil"/>
              <w:bottom w:val="nil"/>
              <w:right w:val="nil"/>
            </w:tcBorders>
            <w:vAlign w:val="bottom"/>
          </w:tcPr>
          <w:p w14:paraId="2538D1F9"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Probability</w:t>
            </w:r>
          </w:p>
        </w:tc>
        <w:tc>
          <w:tcPr>
            <w:tcW w:w="727" w:type="dxa"/>
            <w:tcBorders>
              <w:top w:val="nil"/>
              <w:left w:val="nil"/>
              <w:bottom w:val="nil"/>
              <w:right w:val="nil"/>
            </w:tcBorders>
            <w:vAlign w:val="bottom"/>
          </w:tcPr>
          <w:p w14:paraId="0FDC0158"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0.000000</w:t>
            </w:r>
          </w:p>
        </w:tc>
        <w:tc>
          <w:tcPr>
            <w:tcW w:w="727" w:type="dxa"/>
            <w:tcBorders>
              <w:top w:val="nil"/>
              <w:left w:val="nil"/>
              <w:bottom w:val="nil"/>
              <w:right w:val="nil"/>
            </w:tcBorders>
            <w:vAlign w:val="bottom"/>
          </w:tcPr>
          <w:p w14:paraId="062C562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0.002163</w:t>
            </w:r>
          </w:p>
        </w:tc>
        <w:tc>
          <w:tcPr>
            <w:tcW w:w="727" w:type="dxa"/>
            <w:tcBorders>
              <w:top w:val="nil"/>
              <w:left w:val="nil"/>
              <w:bottom w:val="nil"/>
              <w:right w:val="nil"/>
            </w:tcBorders>
            <w:vAlign w:val="bottom"/>
          </w:tcPr>
          <w:p w14:paraId="6DF2C194"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0.000000</w:t>
            </w:r>
          </w:p>
        </w:tc>
        <w:tc>
          <w:tcPr>
            <w:tcW w:w="727" w:type="dxa"/>
            <w:tcBorders>
              <w:top w:val="nil"/>
              <w:left w:val="nil"/>
              <w:bottom w:val="nil"/>
              <w:right w:val="nil"/>
            </w:tcBorders>
            <w:vAlign w:val="bottom"/>
          </w:tcPr>
          <w:p w14:paraId="14F944A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0.000000</w:t>
            </w:r>
          </w:p>
        </w:tc>
        <w:tc>
          <w:tcPr>
            <w:tcW w:w="727" w:type="dxa"/>
            <w:tcBorders>
              <w:top w:val="nil"/>
              <w:left w:val="nil"/>
              <w:bottom w:val="nil"/>
              <w:right w:val="nil"/>
            </w:tcBorders>
            <w:vAlign w:val="bottom"/>
          </w:tcPr>
          <w:p w14:paraId="39CC68B4"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0.000000</w:t>
            </w:r>
          </w:p>
        </w:tc>
        <w:tc>
          <w:tcPr>
            <w:tcW w:w="727" w:type="dxa"/>
            <w:tcBorders>
              <w:top w:val="nil"/>
              <w:left w:val="nil"/>
              <w:bottom w:val="nil"/>
              <w:right w:val="nil"/>
            </w:tcBorders>
            <w:vAlign w:val="bottom"/>
          </w:tcPr>
          <w:p w14:paraId="71D9A2A5"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0.000000</w:t>
            </w:r>
          </w:p>
        </w:tc>
      </w:tr>
      <w:tr w:rsidR="00F34BC1" w14:paraId="5D62E879" w14:textId="77777777" w:rsidTr="00F34BC1">
        <w:trPr>
          <w:trHeight w:val="180"/>
        </w:trPr>
        <w:tc>
          <w:tcPr>
            <w:tcW w:w="825" w:type="dxa"/>
            <w:tcBorders>
              <w:top w:val="nil"/>
              <w:left w:val="nil"/>
              <w:bottom w:val="nil"/>
              <w:right w:val="nil"/>
            </w:tcBorders>
            <w:vAlign w:val="bottom"/>
          </w:tcPr>
          <w:p w14:paraId="7E89F07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0CDA3FB3"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2BCA7A4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11C22E9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618147A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37A7408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2663CAA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r>
      <w:tr w:rsidR="00F34BC1" w14:paraId="4248A5E4" w14:textId="77777777" w:rsidTr="00F34BC1">
        <w:trPr>
          <w:trHeight w:val="180"/>
        </w:trPr>
        <w:tc>
          <w:tcPr>
            <w:tcW w:w="825" w:type="dxa"/>
            <w:tcBorders>
              <w:top w:val="nil"/>
              <w:left w:val="nil"/>
              <w:bottom w:val="nil"/>
              <w:right w:val="nil"/>
            </w:tcBorders>
            <w:vAlign w:val="bottom"/>
          </w:tcPr>
          <w:p w14:paraId="367D4871"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Sum</w:t>
            </w:r>
          </w:p>
        </w:tc>
        <w:tc>
          <w:tcPr>
            <w:tcW w:w="727" w:type="dxa"/>
            <w:tcBorders>
              <w:top w:val="nil"/>
              <w:left w:val="nil"/>
              <w:bottom w:val="nil"/>
              <w:right w:val="nil"/>
            </w:tcBorders>
            <w:vAlign w:val="bottom"/>
          </w:tcPr>
          <w:p w14:paraId="7F50F2C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58.00000</w:t>
            </w:r>
          </w:p>
        </w:tc>
        <w:tc>
          <w:tcPr>
            <w:tcW w:w="727" w:type="dxa"/>
            <w:tcBorders>
              <w:top w:val="nil"/>
              <w:left w:val="nil"/>
              <w:bottom w:val="nil"/>
              <w:right w:val="nil"/>
            </w:tcBorders>
            <w:vAlign w:val="bottom"/>
          </w:tcPr>
          <w:p w14:paraId="5F7E0944"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1365.124</w:t>
            </w:r>
          </w:p>
        </w:tc>
        <w:tc>
          <w:tcPr>
            <w:tcW w:w="727" w:type="dxa"/>
            <w:tcBorders>
              <w:top w:val="nil"/>
              <w:left w:val="nil"/>
              <w:bottom w:val="nil"/>
              <w:right w:val="nil"/>
            </w:tcBorders>
            <w:vAlign w:val="bottom"/>
          </w:tcPr>
          <w:p w14:paraId="01365B3C"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162.3007</w:t>
            </w:r>
          </w:p>
        </w:tc>
        <w:tc>
          <w:tcPr>
            <w:tcW w:w="727" w:type="dxa"/>
            <w:tcBorders>
              <w:top w:val="nil"/>
              <w:left w:val="nil"/>
              <w:bottom w:val="nil"/>
              <w:right w:val="nil"/>
            </w:tcBorders>
            <w:vAlign w:val="bottom"/>
          </w:tcPr>
          <w:p w14:paraId="1D56C4FF"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-39.14036</w:t>
            </w:r>
          </w:p>
        </w:tc>
        <w:tc>
          <w:tcPr>
            <w:tcW w:w="727" w:type="dxa"/>
            <w:tcBorders>
              <w:top w:val="nil"/>
              <w:left w:val="nil"/>
              <w:bottom w:val="nil"/>
              <w:right w:val="nil"/>
            </w:tcBorders>
            <w:vAlign w:val="bottom"/>
          </w:tcPr>
          <w:p w14:paraId="24D026F5"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0.671346</w:t>
            </w:r>
          </w:p>
        </w:tc>
        <w:tc>
          <w:tcPr>
            <w:tcW w:w="727" w:type="dxa"/>
            <w:tcBorders>
              <w:top w:val="nil"/>
              <w:left w:val="nil"/>
              <w:bottom w:val="nil"/>
              <w:right w:val="nil"/>
            </w:tcBorders>
            <w:vAlign w:val="bottom"/>
          </w:tcPr>
          <w:p w14:paraId="60734C72"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1210.144</w:t>
            </w:r>
          </w:p>
        </w:tc>
      </w:tr>
      <w:tr w:rsidR="00F34BC1" w14:paraId="1EB166CD" w14:textId="77777777" w:rsidTr="00F34BC1">
        <w:trPr>
          <w:trHeight w:val="180"/>
        </w:trPr>
        <w:tc>
          <w:tcPr>
            <w:tcW w:w="825" w:type="dxa"/>
            <w:tcBorders>
              <w:top w:val="nil"/>
              <w:left w:val="nil"/>
              <w:bottom w:val="nil"/>
              <w:right w:val="nil"/>
            </w:tcBorders>
            <w:vAlign w:val="bottom"/>
          </w:tcPr>
          <w:p w14:paraId="7810F058"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Sum Sq. Dev.</w:t>
            </w:r>
          </w:p>
        </w:tc>
        <w:tc>
          <w:tcPr>
            <w:tcW w:w="727" w:type="dxa"/>
            <w:tcBorders>
              <w:top w:val="nil"/>
              <w:left w:val="nil"/>
              <w:bottom w:val="nil"/>
              <w:right w:val="nil"/>
            </w:tcBorders>
            <w:vAlign w:val="bottom"/>
          </w:tcPr>
          <w:p w14:paraId="3CE15BF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9.942857</w:t>
            </w:r>
          </w:p>
        </w:tc>
        <w:tc>
          <w:tcPr>
            <w:tcW w:w="727" w:type="dxa"/>
            <w:tcBorders>
              <w:top w:val="nil"/>
              <w:left w:val="nil"/>
              <w:bottom w:val="nil"/>
              <w:right w:val="nil"/>
            </w:tcBorders>
            <w:vAlign w:val="bottom"/>
          </w:tcPr>
          <w:p w14:paraId="2C9250F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1318.456</w:t>
            </w:r>
          </w:p>
        </w:tc>
        <w:tc>
          <w:tcPr>
            <w:tcW w:w="727" w:type="dxa"/>
            <w:tcBorders>
              <w:top w:val="nil"/>
              <w:left w:val="nil"/>
              <w:bottom w:val="nil"/>
              <w:right w:val="nil"/>
            </w:tcBorders>
            <w:vAlign w:val="bottom"/>
          </w:tcPr>
          <w:p w14:paraId="0439416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1089.510</w:t>
            </w:r>
          </w:p>
        </w:tc>
        <w:tc>
          <w:tcPr>
            <w:tcW w:w="727" w:type="dxa"/>
            <w:tcBorders>
              <w:top w:val="nil"/>
              <w:left w:val="nil"/>
              <w:bottom w:val="nil"/>
              <w:right w:val="nil"/>
            </w:tcBorders>
            <w:vAlign w:val="bottom"/>
          </w:tcPr>
          <w:p w14:paraId="238F5AFF"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19000.29</w:t>
            </w:r>
          </w:p>
        </w:tc>
        <w:tc>
          <w:tcPr>
            <w:tcW w:w="727" w:type="dxa"/>
            <w:tcBorders>
              <w:top w:val="nil"/>
              <w:left w:val="nil"/>
              <w:bottom w:val="nil"/>
              <w:right w:val="nil"/>
            </w:tcBorders>
            <w:vAlign w:val="bottom"/>
          </w:tcPr>
          <w:p w14:paraId="4DA2BA28"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3.134488</w:t>
            </w:r>
          </w:p>
        </w:tc>
        <w:tc>
          <w:tcPr>
            <w:tcW w:w="727" w:type="dxa"/>
            <w:tcBorders>
              <w:top w:val="nil"/>
              <w:left w:val="nil"/>
              <w:bottom w:val="nil"/>
              <w:right w:val="nil"/>
            </w:tcBorders>
            <w:vAlign w:val="bottom"/>
          </w:tcPr>
          <w:p w14:paraId="76CC8258"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666866.0</w:t>
            </w:r>
          </w:p>
        </w:tc>
      </w:tr>
      <w:tr w:rsidR="00F34BC1" w14:paraId="784A9F1D" w14:textId="77777777" w:rsidTr="00F34BC1">
        <w:trPr>
          <w:trHeight w:val="180"/>
        </w:trPr>
        <w:tc>
          <w:tcPr>
            <w:tcW w:w="825" w:type="dxa"/>
            <w:tcBorders>
              <w:top w:val="nil"/>
              <w:left w:val="nil"/>
              <w:bottom w:val="nil"/>
              <w:right w:val="nil"/>
            </w:tcBorders>
            <w:vAlign w:val="bottom"/>
          </w:tcPr>
          <w:p w14:paraId="16C191A1"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1AFC8816"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64FD691D"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68B6756B"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3AC37BB0"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786CE567"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c>
          <w:tcPr>
            <w:tcW w:w="727" w:type="dxa"/>
            <w:tcBorders>
              <w:top w:val="nil"/>
              <w:left w:val="nil"/>
              <w:bottom w:val="nil"/>
              <w:right w:val="nil"/>
            </w:tcBorders>
            <w:vAlign w:val="bottom"/>
          </w:tcPr>
          <w:p w14:paraId="04A991CA"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p>
        </w:tc>
      </w:tr>
      <w:tr w:rsidR="00F34BC1" w14:paraId="4DC1E9FB" w14:textId="77777777" w:rsidTr="00F34BC1">
        <w:trPr>
          <w:trHeight w:val="180"/>
        </w:trPr>
        <w:tc>
          <w:tcPr>
            <w:tcW w:w="825" w:type="dxa"/>
            <w:tcBorders>
              <w:top w:val="nil"/>
              <w:left w:val="nil"/>
              <w:bottom w:val="nil"/>
              <w:right w:val="nil"/>
            </w:tcBorders>
            <w:vAlign w:val="bottom"/>
          </w:tcPr>
          <w:p w14:paraId="61C7063B" w14:textId="77777777" w:rsidR="00F34BC1" w:rsidRPr="003D3976" w:rsidRDefault="00F34BC1" w:rsidP="00E63A21">
            <w:pPr>
              <w:autoSpaceDE w:val="0"/>
              <w:autoSpaceDN w:val="0"/>
              <w:adjustRightInd w:val="0"/>
              <w:rPr>
                <w:rFonts w:ascii="Arial" w:hAnsi="Arial" w:cs="Arial"/>
                <w:color w:val="000000"/>
                <w:sz w:val="14"/>
                <w:szCs w:val="14"/>
                <w:lang w:val="en"/>
              </w:rPr>
            </w:pPr>
            <w:r w:rsidRPr="003D3976">
              <w:rPr>
                <w:rFonts w:ascii="Arial" w:hAnsi="Arial" w:cs="Arial"/>
                <w:color w:val="000000"/>
                <w:sz w:val="14"/>
                <w:szCs w:val="14"/>
                <w:lang w:val="en"/>
              </w:rPr>
              <w:t> Observations</w:t>
            </w:r>
          </w:p>
        </w:tc>
        <w:tc>
          <w:tcPr>
            <w:tcW w:w="727" w:type="dxa"/>
            <w:tcBorders>
              <w:top w:val="nil"/>
              <w:left w:val="nil"/>
              <w:bottom w:val="nil"/>
              <w:right w:val="nil"/>
            </w:tcBorders>
            <w:vAlign w:val="bottom"/>
          </w:tcPr>
          <w:p w14:paraId="2B46F873"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70</w:t>
            </w:r>
          </w:p>
        </w:tc>
        <w:tc>
          <w:tcPr>
            <w:tcW w:w="727" w:type="dxa"/>
            <w:tcBorders>
              <w:top w:val="nil"/>
              <w:left w:val="nil"/>
              <w:bottom w:val="nil"/>
              <w:right w:val="nil"/>
            </w:tcBorders>
            <w:vAlign w:val="bottom"/>
          </w:tcPr>
          <w:p w14:paraId="5CB626A6"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70</w:t>
            </w:r>
          </w:p>
        </w:tc>
        <w:tc>
          <w:tcPr>
            <w:tcW w:w="727" w:type="dxa"/>
            <w:tcBorders>
              <w:top w:val="nil"/>
              <w:left w:val="nil"/>
              <w:bottom w:val="nil"/>
              <w:right w:val="nil"/>
            </w:tcBorders>
            <w:vAlign w:val="bottom"/>
          </w:tcPr>
          <w:p w14:paraId="52F5841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70</w:t>
            </w:r>
          </w:p>
        </w:tc>
        <w:tc>
          <w:tcPr>
            <w:tcW w:w="727" w:type="dxa"/>
            <w:tcBorders>
              <w:top w:val="nil"/>
              <w:left w:val="nil"/>
              <w:bottom w:val="nil"/>
              <w:right w:val="nil"/>
            </w:tcBorders>
            <w:vAlign w:val="bottom"/>
          </w:tcPr>
          <w:p w14:paraId="2FD98C19"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70</w:t>
            </w:r>
          </w:p>
        </w:tc>
        <w:tc>
          <w:tcPr>
            <w:tcW w:w="727" w:type="dxa"/>
            <w:tcBorders>
              <w:top w:val="nil"/>
              <w:left w:val="nil"/>
              <w:bottom w:val="nil"/>
              <w:right w:val="nil"/>
            </w:tcBorders>
            <w:vAlign w:val="bottom"/>
          </w:tcPr>
          <w:p w14:paraId="47E06CD4"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70</w:t>
            </w:r>
          </w:p>
        </w:tc>
        <w:tc>
          <w:tcPr>
            <w:tcW w:w="727" w:type="dxa"/>
            <w:tcBorders>
              <w:top w:val="nil"/>
              <w:left w:val="nil"/>
              <w:bottom w:val="nil"/>
              <w:right w:val="nil"/>
            </w:tcBorders>
            <w:vAlign w:val="bottom"/>
          </w:tcPr>
          <w:p w14:paraId="07BBE161" w14:textId="77777777" w:rsidR="00F34BC1" w:rsidRPr="003D3976" w:rsidRDefault="00F34BC1" w:rsidP="00E63A21">
            <w:pPr>
              <w:autoSpaceDE w:val="0"/>
              <w:autoSpaceDN w:val="0"/>
              <w:adjustRightInd w:val="0"/>
              <w:jc w:val="center"/>
              <w:rPr>
                <w:rFonts w:ascii="Arial" w:hAnsi="Arial" w:cs="Arial"/>
                <w:color w:val="000000"/>
                <w:sz w:val="14"/>
                <w:szCs w:val="14"/>
                <w:lang w:val="en"/>
              </w:rPr>
            </w:pPr>
            <w:r w:rsidRPr="003D3976">
              <w:rPr>
                <w:rFonts w:ascii="Arial" w:hAnsi="Arial" w:cs="Arial"/>
                <w:color w:val="000000"/>
                <w:sz w:val="14"/>
                <w:szCs w:val="14"/>
                <w:lang w:val="en"/>
              </w:rPr>
              <w:t> 70</w:t>
            </w:r>
          </w:p>
        </w:tc>
      </w:tr>
    </w:tbl>
    <w:bookmarkEnd w:id="1"/>
    <w:p w14:paraId="610AC095" w14:textId="537426C3" w:rsidR="00D6763D" w:rsidRDefault="00F34BC1" w:rsidP="00F34BC1">
      <w:pPr>
        <w:spacing w:after="0" w:line="240" w:lineRule="auto"/>
        <w:jc w:val="both"/>
        <w:rPr>
          <w:bCs/>
          <w:i/>
          <w:iCs/>
          <w:szCs w:val="18"/>
        </w:rPr>
      </w:pPr>
      <w:r w:rsidRPr="00F34BC1">
        <w:rPr>
          <w:bCs/>
          <w:i/>
          <w:iCs/>
          <w:szCs w:val="18"/>
        </w:rPr>
        <w:t>Hasil olahan eviews 12</w:t>
      </w:r>
    </w:p>
    <w:p w14:paraId="29FFF031" w14:textId="7CF12038" w:rsidR="00F34BC1" w:rsidRPr="00F34BC1" w:rsidRDefault="00F34BC1" w:rsidP="00F34BC1">
      <w:pPr>
        <w:spacing w:after="0" w:line="240" w:lineRule="auto"/>
        <w:jc w:val="both"/>
        <w:rPr>
          <w:bCs/>
          <w:szCs w:val="18"/>
        </w:rPr>
      </w:pPr>
      <w:r w:rsidRPr="00F34BC1">
        <w:rPr>
          <w:bCs/>
          <w:szCs w:val="18"/>
        </w:rPr>
        <w:t xml:space="preserve">Dari hasil tabel 2 menunjukkan bahwa </w:t>
      </w:r>
      <w:r w:rsidRPr="00F34BC1">
        <w:rPr>
          <w:bCs/>
          <w:i/>
          <w:iCs/>
          <w:szCs w:val="18"/>
        </w:rPr>
        <w:t xml:space="preserve">opini Audit going concern </w:t>
      </w:r>
      <w:r w:rsidRPr="00F34BC1">
        <w:rPr>
          <w:bCs/>
          <w:szCs w:val="18"/>
        </w:rPr>
        <w:t xml:space="preserve">memiliki </w:t>
      </w:r>
      <w:proofErr w:type="gramStart"/>
      <w:r w:rsidRPr="00F34BC1">
        <w:rPr>
          <w:bCs/>
          <w:szCs w:val="18"/>
        </w:rPr>
        <w:t xml:space="preserve">nilai  </w:t>
      </w:r>
      <w:r w:rsidRPr="00F34BC1">
        <w:rPr>
          <w:bCs/>
          <w:szCs w:val="20"/>
        </w:rPr>
        <w:t>maksimum</w:t>
      </w:r>
      <w:proofErr w:type="gramEnd"/>
      <w:r w:rsidRPr="00F34BC1">
        <w:rPr>
          <w:bCs/>
          <w:szCs w:val="20"/>
        </w:rPr>
        <w:t xml:space="preserve"> </w:t>
      </w:r>
      <w:r w:rsidRPr="00F34BC1">
        <w:rPr>
          <w:color w:val="000000"/>
          <w:szCs w:val="20"/>
          <w:lang w:val="en"/>
        </w:rPr>
        <w:t xml:space="preserve">1.000 dengan nilai minimunnya 0.00 dengan standar deviasi sebesar 0.379 </w:t>
      </w:r>
      <w:r w:rsidRPr="00F34BC1">
        <w:rPr>
          <w:rFonts w:ascii="Arial" w:hAnsi="Arial" w:cs="Arial"/>
          <w:color w:val="000000"/>
          <w:sz w:val="14"/>
          <w:szCs w:val="14"/>
          <w:lang w:val="en"/>
        </w:rPr>
        <w:t xml:space="preserve"> </w:t>
      </w:r>
      <w:r w:rsidRPr="00F34BC1">
        <w:rPr>
          <w:szCs w:val="20"/>
        </w:rPr>
        <w:t xml:space="preserve">Hal ini menunjukkan bahwa penerimaan opini audit going concern oleh perusahaan masih sangat rendah, dapat dilihat dari nilai rata-rata yang bahkan tidak mencapai 50%. enerimaan opini audit going concern hanya dilakukan pada itemitem tertentu, yang diangggap penting oleh perusahaan. Dari tabel 2 ukuran perusahaan memiliki nilai maksimum 28.88 dan nilai minimun 14.48 dengna standar deviasi 4.371, untuk variabel </w:t>
      </w:r>
      <w:r w:rsidRPr="00F34BC1">
        <w:rPr>
          <w:i/>
          <w:iCs/>
          <w:szCs w:val="20"/>
        </w:rPr>
        <w:t xml:space="preserve">Debt Default </w:t>
      </w:r>
      <w:r w:rsidRPr="00F34BC1">
        <w:rPr>
          <w:szCs w:val="20"/>
        </w:rPr>
        <w:t xml:space="preserve">nilai maksimum adalah sebesar 22.42 dan nilai minimum sebesar 0.0000416 dengan standar deviasi 3.973, untuk variabel kondisi keuangan nilai maksimum 68.08 dengan nilai minum -58.671 dan standar deviasinya 16.594, variabel pertumbuhan perusahaan memilki nilai maksimum 0,735 dengan nilai minimum -0.998 dan standar deviasinya sebesar 0.213, dan untuk varibael </w:t>
      </w:r>
      <w:r w:rsidRPr="00F34BC1">
        <w:rPr>
          <w:i/>
          <w:iCs/>
          <w:szCs w:val="20"/>
        </w:rPr>
        <w:t xml:space="preserve">Leverage </w:t>
      </w:r>
      <w:r w:rsidRPr="00F34BC1">
        <w:rPr>
          <w:szCs w:val="20"/>
        </w:rPr>
        <w:t xml:space="preserve"> memiliki nilai maksimum sebesar 610.44 dengan nilai minimum sesbesar 0.013 dengan standar deviasinya sebesar 98.30.Uji fit model (Hosmer and Lemeshow’s Goodness of Fit Model)</w:t>
      </w:r>
    </w:p>
    <w:p w14:paraId="748B0904" w14:textId="77777777" w:rsidR="00D6763D" w:rsidRPr="00D6763D" w:rsidRDefault="00D6763D" w:rsidP="00D6763D">
      <w:pPr>
        <w:pStyle w:val="ListParagraph"/>
        <w:numPr>
          <w:ilvl w:val="0"/>
          <w:numId w:val="31"/>
        </w:numPr>
        <w:spacing w:before="120" w:after="0" w:line="240" w:lineRule="auto"/>
        <w:jc w:val="both"/>
        <w:rPr>
          <w:rFonts w:eastAsia="Times New Roman"/>
          <w:bCs/>
          <w:i/>
          <w:iCs/>
          <w:vanish/>
          <w:szCs w:val="20"/>
          <w:lang w:val="en-GB" w:eastAsia="en-GB"/>
        </w:rPr>
      </w:pPr>
    </w:p>
    <w:p w14:paraId="14E5C615" w14:textId="77777777" w:rsidR="00D6763D" w:rsidRPr="00D6763D" w:rsidRDefault="00D6763D" w:rsidP="00D6763D">
      <w:pPr>
        <w:pStyle w:val="ListParagraph"/>
        <w:numPr>
          <w:ilvl w:val="0"/>
          <w:numId w:val="31"/>
        </w:numPr>
        <w:spacing w:before="120" w:after="0" w:line="240" w:lineRule="auto"/>
        <w:jc w:val="both"/>
        <w:rPr>
          <w:rFonts w:eastAsia="Times New Roman"/>
          <w:bCs/>
          <w:i/>
          <w:iCs/>
          <w:vanish/>
          <w:szCs w:val="20"/>
          <w:lang w:val="en-GB" w:eastAsia="en-GB"/>
        </w:rPr>
      </w:pPr>
    </w:p>
    <w:p w14:paraId="4DECCF32" w14:textId="77777777" w:rsidR="00D6763D" w:rsidRPr="00D6763D" w:rsidRDefault="00D6763D" w:rsidP="00D6763D">
      <w:pPr>
        <w:pStyle w:val="ListParagraph"/>
        <w:numPr>
          <w:ilvl w:val="0"/>
          <w:numId w:val="31"/>
        </w:numPr>
        <w:spacing w:before="120" w:after="0" w:line="240" w:lineRule="auto"/>
        <w:jc w:val="both"/>
        <w:rPr>
          <w:rFonts w:eastAsia="Times New Roman"/>
          <w:bCs/>
          <w:i/>
          <w:iCs/>
          <w:vanish/>
          <w:szCs w:val="20"/>
          <w:lang w:val="en-GB" w:eastAsia="en-GB"/>
        </w:rPr>
      </w:pPr>
    </w:p>
    <w:p w14:paraId="10D59A84" w14:textId="77777777" w:rsidR="00D6763D" w:rsidRPr="00D6763D" w:rsidRDefault="00D6763D" w:rsidP="00D6763D">
      <w:pPr>
        <w:pStyle w:val="ListParagraph"/>
        <w:numPr>
          <w:ilvl w:val="0"/>
          <w:numId w:val="31"/>
        </w:numPr>
        <w:spacing w:before="120" w:after="0" w:line="240" w:lineRule="auto"/>
        <w:jc w:val="both"/>
        <w:rPr>
          <w:rFonts w:eastAsia="Times New Roman"/>
          <w:bCs/>
          <w:i/>
          <w:iCs/>
          <w:vanish/>
          <w:szCs w:val="20"/>
          <w:lang w:val="en-GB" w:eastAsia="en-GB"/>
        </w:rPr>
      </w:pPr>
    </w:p>
    <w:p w14:paraId="6D957C43" w14:textId="77777777" w:rsidR="00D6763D" w:rsidRPr="00D6763D" w:rsidRDefault="00D6763D" w:rsidP="00D6763D">
      <w:pPr>
        <w:pStyle w:val="ListParagraph"/>
        <w:numPr>
          <w:ilvl w:val="1"/>
          <w:numId w:val="31"/>
        </w:numPr>
        <w:spacing w:before="120" w:after="0" w:line="240" w:lineRule="auto"/>
        <w:jc w:val="both"/>
        <w:rPr>
          <w:rFonts w:eastAsia="Times New Roman"/>
          <w:bCs/>
          <w:i/>
          <w:iCs/>
          <w:vanish/>
          <w:szCs w:val="20"/>
          <w:lang w:val="en-GB" w:eastAsia="en-GB"/>
        </w:rPr>
      </w:pPr>
    </w:p>
    <w:p w14:paraId="084A0111" w14:textId="14F8A491" w:rsidR="00F34BC1" w:rsidRDefault="00F34BC1" w:rsidP="003A0B00">
      <w:pPr>
        <w:pStyle w:val="ListParagraph"/>
        <w:numPr>
          <w:ilvl w:val="1"/>
          <w:numId w:val="31"/>
        </w:numPr>
        <w:spacing w:after="0"/>
        <w:ind w:left="426" w:hanging="426"/>
        <w:rPr>
          <w:color w:val="000000"/>
          <w:w w:val="102"/>
          <w:szCs w:val="20"/>
        </w:rPr>
      </w:pPr>
      <w:r w:rsidRPr="00F34BC1">
        <w:rPr>
          <w:color w:val="000000"/>
          <w:w w:val="102"/>
          <w:szCs w:val="20"/>
        </w:rPr>
        <w:t>Uji fit model (Hosmer and Lemeshow’s Goodness of Fit Model)</w:t>
      </w:r>
    </w:p>
    <w:p w14:paraId="21CE1D6D" w14:textId="26F8F414" w:rsidR="003A0B00" w:rsidRPr="003A0B00" w:rsidRDefault="003A0B00" w:rsidP="003A0B00">
      <w:pPr>
        <w:spacing w:after="0"/>
        <w:jc w:val="center"/>
        <w:rPr>
          <w:color w:val="000000"/>
          <w:w w:val="102"/>
          <w:szCs w:val="20"/>
        </w:rPr>
      </w:pPr>
      <w:r>
        <w:rPr>
          <w:color w:val="000000"/>
          <w:w w:val="102"/>
          <w:szCs w:val="20"/>
        </w:rPr>
        <w:t>Tabel 3</w:t>
      </w:r>
    </w:p>
    <w:tbl>
      <w:tblPr>
        <w:tblW w:w="4800" w:type="dxa"/>
        <w:tblInd w:w="30" w:type="dxa"/>
        <w:tblLayout w:type="fixed"/>
        <w:tblCellMar>
          <w:left w:w="0" w:type="dxa"/>
          <w:right w:w="0" w:type="dxa"/>
        </w:tblCellMar>
        <w:tblLook w:val="0000" w:firstRow="0" w:lastRow="0" w:firstColumn="0" w:lastColumn="0" w:noHBand="0" w:noVBand="0"/>
      </w:tblPr>
      <w:tblGrid>
        <w:gridCol w:w="741"/>
        <w:gridCol w:w="916"/>
        <w:gridCol w:w="744"/>
        <w:gridCol w:w="161"/>
        <w:gridCol w:w="756"/>
        <w:gridCol w:w="741"/>
        <w:gridCol w:w="741"/>
      </w:tblGrid>
      <w:tr w:rsidR="003A0B00" w14:paraId="2CF2FA03" w14:textId="77777777" w:rsidTr="003A0B00">
        <w:trPr>
          <w:trHeight w:hRule="exact" w:val="158"/>
        </w:trPr>
        <w:tc>
          <w:tcPr>
            <w:tcW w:w="741" w:type="dxa"/>
            <w:tcBorders>
              <w:top w:val="nil"/>
              <w:left w:val="nil"/>
              <w:bottom w:val="double" w:sz="6" w:space="2" w:color="auto"/>
              <w:right w:val="nil"/>
            </w:tcBorders>
            <w:vAlign w:val="bottom"/>
          </w:tcPr>
          <w:p w14:paraId="286C1D9B"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bookmarkStart w:id="2" w:name="_Hlk123131395"/>
          </w:p>
        </w:tc>
        <w:tc>
          <w:tcPr>
            <w:tcW w:w="916" w:type="dxa"/>
            <w:tcBorders>
              <w:top w:val="nil"/>
              <w:left w:val="nil"/>
              <w:bottom w:val="double" w:sz="6" w:space="2" w:color="auto"/>
              <w:right w:val="nil"/>
            </w:tcBorders>
            <w:vAlign w:val="bottom"/>
          </w:tcPr>
          <w:p w14:paraId="56B88ED6"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05" w:type="dxa"/>
            <w:gridSpan w:val="2"/>
            <w:tcBorders>
              <w:top w:val="nil"/>
              <w:left w:val="nil"/>
              <w:bottom w:val="double" w:sz="6" w:space="2" w:color="auto"/>
              <w:right w:val="nil"/>
            </w:tcBorders>
            <w:vAlign w:val="bottom"/>
          </w:tcPr>
          <w:p w14:paraId="014C852F"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56" w:type="dxa"/>
            <w:tcBorders>
              <w:top w:val="nil"/>
              <w:left w:val="nil"/>
              <w:bottom w:val="double" w:sz="6" w:space="2" w:color="auto"/>
              <w:right w:val="nil"/>
            </w:tcBorders>
            <w:vAlign w:val="bottom"/>
          </w:tcPr>
          <w:p w14:paraId="6F9DFC97"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double" w:sz="6" w:space="2" w:color="auto"/>
              <w:right w:val="nil"/>
            </w:tcBorders>
            <w:vAlign w:val="bottom"/>
          </w:tcPr>
          <w:p w14:paraId="1AF0269E"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double" w:sz="6" w:space="2" w:color="auto"/>
              <w:right w:val="nil"/>
            </w:tcBorders>
            <w:vAlign w:val="bottom"/>
          </w:tcPr>
          <w:p w14:paraId="0A0640DC"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r>
      <w:tr w:rsidR="003A0B00" w14:paraId="39919108" w14:textId="77777777" w:rsidTr="003A0B00">
        <w:trPr>
          <w:trHeight w:hRule="exact" w:val="239"/>
        </w:trPr>
        <w:tc>
          <w:tcPr>
            <w:tcW w:w="741" w:type="dxa"/>
            <w:tcBorders>
              <w:top w:val="nil"/>
              <w:left w:val="nil"/>
              <w:bottom w:val="nil"/>
              <w:right w:val="nil"/>
            </w:tcBorders>
            <w:vAlign w:val="bottom"/>
          </w:tcPr>
          <w:p w14:paraId="006E0083"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16" w:type="dxa"/>
            <w:tcBorders>
              <w:top w:val="nil"/>
              <w:left w:val="nil"/>
              <w:bottom w:val="nil"/>
              <w:right w:val="nil"/>
            </w:tcBorders>
            <w:vAlign w:val="bottom"/>
          </w:tcPr>
          <w:p w14:paraId="171656A4"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4" w:type="dxa"/>
            <w:tcBorders>
              <w:top w:val="nil"/>
              <w:left w:val="nil"/>
              <w:bottom w:val="nil"/>
              <w:right w:val="nil"/>
            </w:tcBorders>
            <w:vAlign w:val="bottom"/>
          </w:tcPr>
          <w:p w14:paraId="4F069C22"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17" w:type="dxa"/>
            <w:gridSpan w:val="2"/>
            <w:tcBorders>
              <w:top w:val="nil"/>
              <w:left w:val="nil"/>
              <w:bottom w:val="nil"/>
              <w:right w:val="nil"/>
            </w:tcBorders>
            <w:vAlign w:val="bottom"/>
          </w:tcPr>
          <w:p w14:paraId="4BA09F6D"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nil"/>
              <w:right w:val="nil"/>
            </w:tcBorders>
            <w:vAlign w:val="bottom"/>
          </w:tcPr>
          <w:p w14:paraId="6C10FD4D"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nil"/>
              <w:right w:val="nil"/>
            </w:tcBorders>
            <w:vAlign w:val="bottom"/>
          </w:tcPr>
          <w:p w14:paraId="62D2519B"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r>
      <w:tr w:rsidR="003A0B00" w14:paraId="51E4A5DA" w14:textId="77777777" w:rsidTr="00E63A21">
        <w:trPr>
          <w:trHeight w:val="400"/>
        </w:trPr>
        <w:tc>
          <w:tcPr>
            <w:tcW w:w="741" w:type="dxa"/>
            <w:tcBorders>
              <w:top w:val="nil"/>
              <w:left w:val="nil"/>
              <w:bottom w:val="nil"/>
              <w:right w:val="nil"/>
            </w:tcBorders>
            <w:vAlign w:val="bottom"/>
          </w:tcPr>
          <w:p w14:paraId="2075C510" w14:textId="77777777" w:rsidR="003A0B00" w:rsidRDefault="003A0B00" w:rsidP="003A0B00">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3.7570</w:t>
            </w:r>
          </w:p>
        </w:tc>
        <w:tc>
          <w:tcPr>
            <w:tcW w:w="916" w:type="dxa"/>
            <w:tcBorders>
              <w:top w:val="nil"/>
              <w:left w:val="nil"/>
              <w:bottom w:val="nil"/>
              <w:right w:val="nil"/>
            </w:tcBorders>
            <w:vAlign w:val="bottom"/>
          </w:tcPr>
          <w:p w14:paraId="6115B287" w14:textId="77777777" w:rsidR="003A0B00" w:rsidRDefault="003A0B00" w:rsidP="003A0B00">
            <w:pPr>
              <w:autoSpaceDE w:val="0"/>
              <w:autoSpaceDN w:val="0"/>
              <w:adjustRightInd w:val="0"/>
              <w:spacing w:after="0" w:line="240" w:lineRule="auto"/>
              <w:ind w:right="20"/>
              <w:jc w:val="center"/>
              <w:rPr>
                <w:rFonts w:ascii="Arial" w:hAnsi="Arial" w:cs="Arial"/>
                <w:color w:val="000000"/>
                <w:sz w:val="18"/>
                <w:szCs w:val="18"/>
              </w:rPr>
            </w:pPr>
          </w:p>
        </w:tc>
        <w:tc>
          <w:tcPr>
            <w:tcW w:w="1661" w:type="dxa"/>
            <w:gridSpan w:val="3"/>
            <w:tcBorders>
              <w:top w:val="nil"/>
              <w:left w:val="nil"/>
              <w:bottom w:val="nil"/>
              <w:right w:val="nil"/>
            </w:tcBorders>
            <w:vAlign w:val="bottom"/>
          </w:tcPr>
          <w:p w14:paraId="186EDC55" w14:textId="77777777" w:rsidR="003A0B00" w:rsidRDefault="003A0B00" w:rsidP="003A0B00">
            <w:pPr>
              <w:autoSpaceDE w:val="0"/>
              <w:autoSpaceDN w:val="0"/>
              <w:adjustRightInd w:val="0"/>
              <w:spacing w:after="0" w:line="240" w:lineRule="auto"/>
              <w:ind w:right="20"/>
              <w:rPr>
                <w:rFonts w:ascii="Arial" w:hAnsi="Arial" w:cs="Arial"/>
                <w:color w:val="000000"/>
                <w:sz w:val="18"/>
                <w:szCs w:val="18"/>
              </w:rPr>
            </w:pPr>
            <w:r>
              <w:rPr>
                <w:rFonts w:ascii="Arial" w:hAnsi="Arial" w:cs="Arial"/>
                <w:color w:val="000000"/>
                <w:sz w:val="18"/>
                <w:szCs w:val="18"/>
              </w:rPr>
              <w:t>Prob. Chi-</w:t>
            </w:r>
            <w:proofErr w:type="gramStart"/>
            <w:r>
              <w:rPr>
                <w:rFonts w:ascii="Arial" w:hAnsi="Arial" w:cs="Arial"/>
                <w:color w:val="000000"/>
                <w:sz w:val="18"/>
                <w:szCs w:val="18"/>
              </w:rPr>
              <w:t>Sq(</w:t>
            </w:r>
            <w:proofErr w:type="gramEnd"/>
            <w:r>
              <w:rPr>
                <w:rFonts w:ascii="Arial" w:hAnsi="Arial" w:cs="Arial"/>
                <w:color w:val="000000"/>
                <w:sz w:val="18"/>
                <w:szCs w:val="18"/>
              </w:rPr>
              <w:t>8)</w:t>
            </w:r>
          </w:p>
        </w:tc>
        <w:tc>
          <w:tcPr>
            <w:tcW w:w="741" w:type="dxa"/>
            <w:tcBorders>
              <w:top w:val="nil"/>
              <w:left w:val="nil"/>
              <w:bottom w:val="nil"/>
              <w:right w:val="nil"/>
            </w:tcBorders>
            <w:vAlign w:val="bottom"/>
          </w:tcPr>
          <w:p w14:paraId="700762F2" w14:textId="77777777" w:rsidR="003A0B00" w:rsidRDefault="003A0B00" w:rsidP="003A0B00">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0.8784</w:t>
            </w:r>
          </w:p>
        </w:tc>
        <w:tc>
          <w:tcPr>
            <w:tcW w:w="741" w:type="dxa"/>
            <w:tcBorders>
              <w:top w:val="nil"/>
              <w:left w:val="nil"/>
              <w:bottom w:val="nil"/>
              <w:right w:val="nil"/>
            </w:tcBorders>
            <w:vAlign w:val="bottom"/>
          </w:tcPr>
          <w:p w14:paraId="666BD559" w14:textId="77777777" w:rsidR="003A0B00" w:rsidRDefault="003A0B00" w:rsidP="003A0B00">
            <w:pPr>
              <w:autoSpaceDE w:val="0"/>
              <w:autoSpaceDN w:val="0"/>
              <w:adjustRightInd w:val="0"/>
              <w:spacing w:after="0" w:line="240" w:lineRule="auto"/>
              <w:ind w:right="20"/>
              <w:jc w:val="center"/>
              <w:rPr>
                <w:rFonts w:ascii="Arial" w:hAnsi="Arial" w:cs="Arial"/>
                <w:color w:val="000000"/>
                <w:sz w:val="18"/>
                <w:szCs w:val="18"/>
              </w:rPr>
            </w:pPr>
          </w:p>
        </w:tc>
      </w:tr>
      <w:tr w:rsidR="003A0B00" w14:paraId="0F542053" w14:textId="77777777" w:rsidTr="00E63A21">
        <w:trPr>
          <w:trHeight w:val="400"/>
        </w:trPr>
        <w:tc>
          <w:tcPr>
            <w:tcW w:w="741" w:type="dxa"/>
            <w:tcBorders>
              <w:top w:val="nil"/>
              <w:left w:val="nil"/>
              <w:bottom w:val="nil"/>
              <w:right w:val="nil"/>
            </w:tcBorders>
            <w:vAlign w:val="bottom"/>
          </w:tcPr>
          <w:p w14:paraId="4BBB72F6" w14:textId="77777777" w:rsidR="003A0B00" w:rsidRDefault="003A0B00" w:rsidP="003A0B00">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25.1515</w:t>
            </w:r>
          </w:p>
        </w:tc>
        <w:tc>
          <w:tcPr>
            <w:tcW w:w="916" w:type="dxa"/>
            <w:tcBorders>
              <w:top w:val="nil"/>
              <w:left w:val="nil"/>
              <w:bottom w:val="nil"/>
              <w:right w:val="nil"/>
            </w:tcBorders>
            <w:vAlign w:val="bottom"/>
          </w:tcPr>
          <w:p w14:paraId="71362E3E" w14:textId="77777777" w:rsidR="003A0B00" w:rsidRDefault="003A0B00" w:rsidP="003A0B00">
            <w:pPr>
              <w:autoSpaceDE w:val="0"/>
              <w:autoSpaceDN w:val="0"/>
              <w:adjustRightInd w:val="0"/>
              <w:spacing w:after="0" w:line="240" w:lineRule="auto"/>
              <w:ind w:right="20"/>
              <w:jc w:val="center"/>
              <w:rPr>
                <w:rFonts w:ascii="Arial" w:hAnsi="Arial" w:cs="Arial"/>
                <w:color w:val="000000"/>
                <w:sz w:val="18"/>
                <w:szCs w:val="18"/>
              </w:rPr>
            </w:pPr>
          </w:p>
        </w:tc>
        <w:tc>
          <w:tcPr>
            <w:tcW w:w="1661" w:type="dxa"/>
            <w:gridSpan w:val="3"/>
            <w:tcBorders>
              <w:top w:val="nil"/>
              <w:left w:val="nil"/>
              <w:bottom w:val="nil"/>
              <w:right w:val="nil"/>
            </w:tcBorders>
            <w:vAlign w:val="bottom"/>
          </w:tcPr>
          <w:p w14:paraId="4698E96C" w14:textId="77777777" w:rsidR="003A0B00" w:rsidRDefault="003A0B00" w:rsidP="003A0B00">
            <w:pPr>
              <w:autoSpaceDE w:val="0"/>
              <w:autoSpaceDN w:val="0"/>
              <w:adjustRightInd w:val="0"/>
              <w:spacing w:after="0" w:line="240" w:lineRule="auto"/>
              <w:ind w:right="20"/>
              <w:rPr>
                <w:rFonts w:ascii="Arial" w:hAnsi="Arial" w:cs="Arial"/>
                <w:color w:val="000000"/>
                <w:sz w:val="18"/>
                <w:szCs w:val="18"/>
              </w:rPr>
            </w:pPr>
            <w:r>
              <w:rPr>
                <w:rFonts w:ascii="Arial" w:hAnsi="Arial" w:cs="Arial"/>
                <w:color w:val="000000"/>
                <w:sz w:val="18"/>
                <w:szCs w:val="18"/>
              </w:rPr>
              <w:t>Prob. Chi-</w:t>
            </w:r>
            <w:proofErr w:type="gramStart"/>
            <w:r>
              <w:rPr>
                <w:rFonts w:ascii="Arial" w:hAnsi="Arial" w:cs="Arial"/>
                <w:color w:val="000000"/>
                <w:sz w:val="18"/>
                <w:szCs w:val="18"/>
              </w:rPr>
              <w:t>Sq(</w:t>
            </w:r>
            <w:proofErr w:type="gramEnd"/>
            <w:r>
              <w:rPr>
                <w:rFonts w:ascii="Arial" w:hAnsi="Arial" w:cs="Arial"/>
                <w:color w:val="000000"/>
                <w:sz w:val="18"/>
                <w:szCs w:val="18"/>
              </w:rPr>
              <w:t>10)</w:t>
            </w:r>
          </w:p>
        </w:tc>
        <w:tc>
          <w:tcPr>
            <w:tcW w:w="741" w:type="dxa"/>
            <w:tcBorders>
              <w:top w:val="nil"/>
              <w:left w:val="nil"/>
              <w:bottom w:val="nil"/>
              <w:right w:val="nil"/>
            </w:tcBorders>
            <w:vAlign w:val="bottom"/>
          </w:tcPr>
          <w:p w14:paraId="733FB976" w14:textId="77777777" w:rsidR="003A0B00" w:rsidRDefault="003A0B00" w:rsidP="003A0B00">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0.0051</w:t>
            </w:r>
          </w:p>
        </w:tc>
        <w:tc>
          <w:tcPr>
            <w:tcW w:w="741" w:type="dxa"/>
            <w:tcBorders>
              <w:top w:val="nil"/>
              <w:left w:val="nil"/>
              <w:bottom w:val="nil"/>
              <w:right w:val="nil"/>
            </w:tcBorders>
            <w:vAlign w:val="bottom"/>
          </w:tcPr>
          <w:p w14:paraId="6EBACCEA" w14:textId="77777777" w:rsidR="003A0B00" w:rsidRDefault="003A0B00" w:rsidP="003A0B00">
            <w:pPr>
              <w:autoSpaceDE w:val="0"/>
              <w:autoSpaceDN w:val="0"/>
              <w:adjustRightInd w:val="0"/>
              <w:spacing w:after="0" w:line="240" w:lineRule="auto"/>
              <w:ind w:right="20"/>
              <w:jc w:val="center"/>
              <w:rPr>
                <w:rFonts w:ascii="Arial" w:hAnsi="Arial" w:cs="Arial"/>
                <w:color w:val="000000"/>
                <w:sz w:val="18"/>
                <w:szCs w:val="18"/>
              </w:rPr>
            </w:pPr>
          </w:p>
        </w:tc>
      </w:tr>
      <w:tr w:rsidR="003A0B00" w14:paraId="63581E37" w14:textId="77777777" w:rsidTr="003A0B00">
        <w:trPr>
          <w:trHeight w:hRule="exact" w:val="158"/>
        </w:trPr>
        <w:tc>
          <w:tcPr>
            <w:tcW w:w="741" w:type="dxa"/>
            <w:tcBorders>
              <w:top w:val="nil"/>
              <w:left w:val="nil"/>
              <w:bottom w:val="double" w:sz="6" w:space="0" w:color="auto"/>
              <w:right w:val="nil"/>
            </w:tcBorders>
            <w:vAlign w:val="bottom"/>
          </w:tcPr>
          <w:p w14:paraId="2968D89C"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16" w:type="dxa"/>
            <w:tcBorders>
              <w:top w:val="nil"/>
              <w:left w:val="nil"/>
              <w:bottom w:val="double" w:sz="6" w:space="0" w:color="auto"/>
              <w:right w:val="nil"/>
            </w:tcBorders>
            <w:vAlign w:val="bottom"/>
          </w:tcPr>
          <w:p w14:paraId="364AA4F3"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4" w:type="dxa"/>
            <w:tcBorders>
              <w:top w:val="nil"/>
              <w:left w:val="nil"/>
              <w:bottom w:val="double" w:sz="6" w:space="0" w:color="auto"/>
              <w:right w:val="nil"/>
            </w:tcBorders>
            <w:vAlign w:val="bottom"/>
          </w:tcPr>
          <w:p w14:paraId="68A6D4AB"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17" w:type="dxa"/>
            <w:gridSpan w:val="2"/>
            <w:tcBorders>
              <w:top w:val="nil"/>
              <w:left w:val="nil"/>
              <w:bottom w:val="double" w:sz="6" w:space="0" w:color="auto"/>
              <w:right w:val="nil"/>
            </w:tcBorders>
            <w:vAlign w:val="bottom"/>
          </w:tcPr>
          <w:p w14:paraId="63398E84"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double" w:sz="6" w:space="0" w:color="auto"/>
              <w:right w:val="nil"/>
            </w:tcBorders>
            <w:vAlign w:val="bottom"/>
          </w:tcPr>
          <w:p w14:paraId="321D5B76"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double" w:sz="6" w:space="0" w:color="auto"/>
              <w:right w:val="nil"/>
            </w:tcBorders>
            <w:vAlign w:val="bottom"/>
          </w:tcPr>
          <w:p w14:paraId="2B4A7ADC"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r>
      <w:tr w:rsidR="003A0B00" w14:paraId="1D2C4D2B" w14:textId="77777777" w:rsidTr="003A0B00">
        <w:trPr>
          <w:trHeight w:hRule="exact" w:val="239"/>
        </w:trPr>
        <w:tc>
          <w:tcPr>
            <w:tcW w:w="741" w:type="dxa"/>
            <w:tcBorders>
              <w:top w:val="nil"/>
              <w:left w:val="nil"/>
              <w:bottom w:val="nil"/>
              <w:right w:val="nil"/>
            </w:tcBorders>
            <w:vAlign w:val="bottom"/>
          </w:tcPr>
          <w:p w14:paraId="468C0B15"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16" w:type="dxa"/>
            <w:tcBorders>
              <w:top w:val="nil"/>
              <w:left w:val="nil"/>
              <w:bottom w:val="nil"/>
              <w:right w:val="nil"/>
            </w:tcBorders>
            <w:vAlign w:val="bottom"/>
          </w:tcPr>
          <w:p w14:paraId="0591FC13"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4" w:type="dxa"/>
            <w:tcBorders>
              <w:top w:val="nil"/>
              <w:left w:val="nil"/>
              <w:bottom w:val="nil"/>
              <w:right w:val="nil"/>
            </w:tcBorders>
            <w:vAlign w:val="bottom"/>
          </w:tcPr>
          <w:p w14:paraId="4C801767"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917" w:type="dxa"/>
            <w:gridSpan w:val="2"/>
            <w:tcBorders>
              <w:top w:val="nil"/>
              <w:left w:val="nil"/>
              <w:bottom w:val="nil"/>
              <w:right w:val="nil"/>
            </w:tcBorders>
            <w:vAlign w:val="bottom"/>
          </w:tcPr>
          <w:p w14:paraId="690EB497"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nil"/>
              <w:right w:val="nil"/>
            </w:tcBorders>
            <w:vAlign w:val="bottom"/>
          </w:tcPr>
          <w:p w14:paraId="7432ED74"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c>
          <w:tcPr>
            <w:tcW w:w="741" w:type="dxa"/>
            <w:tcBorders>
              <w:top w:val="nil"/>
              <w:left w:val="nil"/>
              <w:bottom w:val="nil"/>
              <w:right w:val="nil"/>
            </w:tcBorders>
            <w:vAlign w:val="bottom"/>
          </w:tcPr>
          <w:p w14:paraId="60CC6ADB" w14:textId="77777777" w:rsidR="003A0B00" w:rsidRDefault="003A0B00" w:rsidP="003A0B00">
            <w:pPr>
              <w:autoSpaceDE w:val="0"/>
              <w:autoSpaceDN w:val="0"/>
              <w:adjustRightInd w:val="0"/>
              <w:spacing w:after="0" w:line="240" w:lineRule="auto"/>
              <w:jc w:val="center"/>
              <w:rPr>
                <w:rFonts w:ascii="Arial" w:hAnsi="Arial" w:cs="Arial"/>
                <w:color w:val="000000"/>
                <w:sz w:val="18"/>
                <w:szCs w:val="18"/>
              </w:rPr>
            </w:pPr>
          </w:p>
        </w:tc>
      </w:tr>
    </w:tbl>
    <w:bookmarkEnd w:id="2"/>
    <w:p w14:paraId="4B266545" w14:textId="4E19490E" w:rsidR="00F34BC1" w:rsidRPr="00F34BC1" w:rsidRDefault="003A0B00" w:rsidP="003A0B00">
      <w:pPr>
        <w:jc w:val="both"/>
        <w:rPr>
          <w:color w:val="000000"/>
          <w:w w:val="102"/>
          <w:szCs w:val="20"/>
        </w:rPr>
      </w:pPr>
      <w:r w:rsidRPr="003A0B00">
        <w:rPr>
          <w:color w:val="000000"/>
          <w:w w:val="102"/>
          <w:szCs w:val="20"/>
        </w:rPr>
        <w:t>Tahapan pertama yang dilakukan adalah pengujian kelayakan model dengan menggunakan Homes and Lemeshow’s Goodness of Fit Model yang disajikan pada tabel 3. Hasil pengujian menunjukkan nilai sig. pada uji Hosmer dan Lemeshow test sebesar 0,87884&gt;0.05 tergolong fit dan mampu untuk memprediksi nilai observasinya atau dapat diterima karena cocok dengan data observasinya</w:t>
      </w:r>
    </w:p>
    <w:p w14:paraId="1ACD0D07" w14:textId="42CD593E" w:rsidR="00D6763D" w:rsidRDefault="003A0B00" w:rsidP="00D6763D">
      <w:pPr>
        <w:pStyle w:val="ListParagraph"/>
        <w:widowControl w:val="0"/>
        <w:numPr>
          <w:ilvl w:val="1"/>
          <w:numId w:val="31"/>
        </w:numPr>
        <w:autoSpaceDE w:val="0"/>
        <w:autoSpaceDN w:val="0"/>
        <w:adjustRightInd w:val="0"/>
        <w:spacing w:after="60" w:line="240" w:lineRule="auto"/>
        <w:ind w:left="426"/>
        <w:jc w:val="both"/>
        <w:rPr>
          <w:color w:val="000000"/>
          <w:w w:val="102"/>
          <w:szCs w:val="20"/>
        </w:rPr>
      </w:pPr>
      <w:r w:rsidRPr="003A0B00">
        <w:rPr>
          <w:color w:val="000000"/>
          <w:w w:val="102"/>
          <w:szCs w:val="20"/>
        </w:rPr>
        <w:t>Menilai keseluruhan model (Overall Model Fit Test)</w:t>
      </w:r>
    </w:p>
    <w:p w14:paraId="5AE58AE5" w14:textId="78634261" w:rsidR="00F325A9" w:rsidRPr="00F325A9" w:rsidRDefault="00F325A9" w:rsidP="00F325A9">
      <w:pPr>
        <w:pStyle w:val="ListParagraph"/>
        <w:widowControl w:val="0"/>
        <w:autoSpaceDE w:val="0"/>
        <w:autoSpaceDN w:val="0"/>
        <w:adjustRightInd w:val="0"/>
        <w:spacing w:after="60" w:line="240" w:lineRule="auto"/>
        <w:ind w:left="426"/>
        <w:jc w:val="center"/>
        <w:rPr>
          <w:color w:val="000000"/>
          <w:w w:val="102"/>
          <w:szCs w:val="20"/>
          <w:lang w:val="en-US"/>
        </w:rPr>
      </w:pPr>
      <w:r>
        <w:rPr>
          <w:color w:val="000000"/>
          <w:w w:val="102"/>
          <w:szCs w:val="20"/>
          <w:lang w:val="en-US"/>
        </w:rPr>
        <w:t>Tabel 4</w:t>
      </w:r>
    </w:p>
    <w:tbl>
      <w:tblPr>
        <w:tblW w:w="4820" w:type="dxa"/>
        <w:tblLayout w:type="fixed"/>
        <w:tblCellMar>
          <w:left w:w="0" w:type="dxa"/>
          <w:right w:w="0" w:type="dxa"/>
        </w:tblCellMar>
        <w:tblLook w:val="0000" w:firstRow="0" w:lastRow="0" w:firstColumn="0" w:lastColumn="0" w:noHBand="0" w:noVBand="0"/>
      </w:tblPr>
      <w:tblGrid>
        <w:gridCol w:w="1418"/>
        <w:gridCol w:w="850"/>
        <w:gridCol w:w="1686"/>
        <w:gridCol w:w="20"/>
        <w:gridCol w:w="846"/>
      </w:tblGrid>
      <w:tr w:rsidR="00F325A9" w14:paraId="45B38B42" w14:textId="77777777" w:rsidTr="00F325A9">
        <w:trPr>
          <w:trHeight w:val="204"/>
        </w:trPr>
        <w:tc>
          <w:tcPr>
            <w:tcW w:w="1418" w:type="dxa"/>
            <w:tcBorders>
              <w:top w:val="nil"/>
              <w:left w:val="nil"/>
              <w:bottom w:val="nil"/>
              <w:right w:val="nil"/>
            </w:tcBorders>
            <w:vAlign w:val="bottom"/>
          </w:tcPr>
          <w:p w14:paraId="73621132"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bookmarkStart w:id="3" w:name="_Hlk123131498"/>
            <w:r w:rsidRPr="00F325A9">
              <w:rPr>
                <w:rFonts w:ascii="Arial" w:hAnsi="Arial" w:cs="Arial"/>
                <w:color w:val="000000"/>
                <w:sz w:val="16"/>
                <w:szCs w:val="16"/>
              </w:rPr>
              <w:t>McFadden R-squared</w:t>
            </w:r>
          </w:p>
        </w:tc>
        <w:tc>
          <w:tcPr>
            <w:tcW w:w="850" w:type="dxa"/>
            <w:tcBorders>
              <w:top w:val="nil"/>
              <w:left w:val="nil"/>
              <w:bottom w:val="nil"/>
              <w:right w:val="nil"/>
            </w:tcBorders>
            <w:vAlign w:val="bottom"/>
          </w:tcPr>
          <w:p w14:paraId="143AAC7E"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0.262772</w:t>
            </w:r>
          </w:p>
        </w:tc>
        <w:tc>
          <w:tcPr>
            <w:tcW w:w="1706" w:type="dxa"/>
            <w:gridSpan w:val="2"/>
            <w:tcBorders>
              <w:top w:val="nil"/>
              <w:left w:val="nil"/>
              <w:bottom w:val="nil"/>
              <w:right w:val="nil"/>
            </w:tcBorders>
            <w:vAlign w:val="bottom"/>
          </w:tcPr>
          <w:p w14:paraId="29F82508"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Mean dependent var</w:t>
            </w:r>
          </w:p>
        </w:tc>
        <w:tc>
          <w:tcPr>
            <w:tcW w:w="846" w:type="dxa"/>
            <w:tcBorders>
              <w:top w:val="nil"/>
              <w:left w:val="nil"/>
              <w:bottom w:val="nil"/>
              <w:right w:val="nil"/>
            </w:tcBorders>
            <w:vAlign w:val="bottom"/>
          </w:tcPr>
          <w:p w14:paraId="2FB173C8"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0.828571</w:t>
            </w:r>
          </w:p>
        </w:tc>
      </w:tr>
      <w:tr w:rsidR="00F325A9" w14:paraId="20C6AB5B" w14:textId="77777777" w:rsidTr="00F325A9">
        <w:trPr>
          <w:trHeight w:val="204"/>
        </w:trPr>
        <w:tc>
          <w:tcPr>
            <w:tcW w:w="1418" w:type="dxa"/>
            <w:tcBorders>
              <w:top w:val="nil"/>
              <w:left w:val="nil"/>
              <w:bottom w:val="nil"/>
              <w:right w:val="nil"/>
            </w:tcBorders>
            <w:vAlign w:val="bottom"/>
          </w:tcPr>
          <w:p w14:paraId="13F24762"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r w:rsidRPr="00F325A9">
              <w:rPr>
                <w:rFonts w:ascii="Arial" w:hAnsi="Arial" w:cs="Arial"/>
                <w:color w:val="000000"/>
                <w:sz w:val="16"/>
                <w:szCs w:val="16"/>
              </w:rPr>
              <w:t>S.D. dependent var</w:t>
            </w:r>
          </w:p>
        </w:tc>
        <w:tc>
          <w:tcPr>
            <w:tcW w:w="850" w:type="dxa"/>
            <w:tcBorders>
              <w:top w:val="nil"/>
              <w:left w:val="nil"/>
              <w:bottom w:val="nil"/>
              <w:right w:val="nil"/>
            </w:tcBorders>
            <w:vAlign w:val="bottom"/>
          </w:tcPr>
          <w:p w14:paraId="50A93D5D"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0.379604</w:t>
            </w:r>
          </w:p>
        </w:tc>
        <w:tc>
          <w:tcPr>
            <w:tcW w:w="1706" w:type="dxa"/>
            <w:gridSpan w:val="2"/>
            <w:tcBorders>
              <w:top w:val="nil"/>
              <w:left w:val="nil"/>
              <w:bottom w:val="nil"/>
              <w:right w:val="nil"/>
            </w:tcBorders>
            <w:vAlign w:val="bottom"/>
          </w:tcPr>
          <w:p w14:paraId="07A3EC8F"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S.E. of regression</w:t>
            </w:r>
          </w:p>
        </w:tc>
        <w:tc>
          <w:tcPr>
            <w:tcW w:w="846" w:type="dxa"/>
            <w:tcBorders>
              <w:top w:val="nil"/>
              <w:left w:val="nil"/>
              <w:bottom w:val="nil"/>
              <w:right w:val="nil"/>
            </w:tcBorders>
            <w:vAlign w:val="bottom"/>
          </w:tcPr>
          <w:p w14:paraId="36B6E046"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0.339848</w:t>
            </w:r>
          </w:p>
        </w:tc>
      </w:tr>
      <w:tr w:rsidR="00F325A9" w14:paraId="44048A0C" w14:textId="77777777" w:rsidTr="00F325A9">
        <w:trPr>
          <w:trHeight w:val="204"/>
        </w:trPr>
        <w:tc>
          <w:tcPr>
            <w:tcW w:w="1418" w:type="dxa"/>
            <w:tcBorders>
              <w:top w:val="nil"/>
              <w:left w:val="nil"/>
              <w:bottom w:val="nil"/>
              <w:right w:val="nil"/>
            </w:tcBorders>
            <w:vAlign w:val="bottom"/>
          </w:tcPr>
          <w:p w14:paraId="00A8984E"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r w:rsidRPr="00F325A9">
              <w:rPr>
                <w:rFonts w:ascii="Arial" w:hAnsi="Arial" w:cs="Arial"/>
                <w:color w:val="000000"/>
                <w:sz w:val="16"/>
                <w:szCs w:val="16"/>
              </w:rPr>
              <w:t>Akaike info criterion</w:t>
            </w:r>
          </w:p>
        </w:tc>
        <w:tc>
          <w:tcPr>
            <w:tcW w:w="850" w:type="dxa"/>
            <w:tcBorders>
              <w:top w:val="nil"/>
              <w:left w:val="nil"/>
              <w:bottom w:val="nil"/>
              <w:right w:val="nil"/>
            </w:tcBorders>
            <w:vAlign w:val="bottom"/>
          </w:tcPr>
          <w:p w14:paraId="5EE79E6F"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0.846942</w:t>
            </w:r>
          </w:p>
        </w:tc>
        <w:tc>
          <w:tcPr>
            <w:tcW w:w="1706" w:type="dxa"/>
            <w:gridSpan w:val="2"/>
            <w:tcBorders>
              <w:top w:val="nil"/>
              <w:left w:val="nil"/>
              <w:bottom w:val="nil"/>
              <w:right w:val="nil"/>
            </w:tcBorders>
            <w:vAlign w:val="bottom"/>
          </w:tcPr>
          <w:p w14:paraId="76B5E7B5"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Sum squared resid</w:t>
            </w:r>
          </w:p>
        </w:tc>
        <w:tc>
          <w:tcPr>
            <w:tcW w:w="846" w:type="dxa"/>
            <w:tcBorders>
              <w:top w:val="nil"/>
              <w:left w:val="nil"/>
              <w:bottom w:val="nil"/>
              <w:right w:val="nil"/>
            </w:tcBorders>
            <w:vAlign w:val="bottom"/>
          </w:tcPr>
          <w:p w14:paraId="3B86F8D3"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7.391786</w:t>
            </w:r>
          </w:p>
        </w:tc>
      </w:tr>
      <w:tr w:rsidR="00F325A9" w14:paraId="7F423196" w14:textId="77777777" w:rsidTr="00F325A9">
        <w:trPr>
          <w:trHeight w:val="204"/>
        </w:trPr>
        <w:tc>
          <w:tcPr>
            <w:tcW w:w="1418" w:type="dxa"/>
            <w:tcBorders>
              <w:top w:val="nil"/>
              <w:left w:val="nil"/>
              <w:bottom w:val="nil"/>
              <w:right w:val="nil"/>
            </w:tcBorders>
            <w:vAlign w:val="bottom"/>
          </w:tcPr>
          <w:p w14:paraId="7D30CE90"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r w:rsidRPr="00F325A9">
              <w:rPr>
                <w:rFonts w:ascii="Arial" w:hAnsi="Arial" w:cs="Arial"/>
                <w:color w:val="000000"/>
                <w:sz w:val="16"/>
                <w:szCs w:val="16"/>
              </w:rPr>
              <w:t>Schwarz criterion</w:t>
            </w:r>
          </w:p>
        </w:tc>
        <w:tc>
          <w:tcPr>
            <w:tcW w:w="850" w:type="dxa"/>
            <w:tcBorders>
              <w:top w:val="nil"/>
              <w:left w:val="nil"/>
              <w:bottom w:val="nil"/>
              <w:right w:val="nil"/>
            </w:tcBorders>
            <w:vAlign w:val="bottom"/>
          </w:tcPr>
          <w:p w14:paraId="54717335"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1.039670</w:t>
            </w:r>
          </w:p>
        </w:tc>
        <w:tc>
          <w:tcPr>
            <w:tcW w:w="1706" w:type="dxa"/>
            <w:gridSpan w:val="2"/>
            <w:tcBorders>
              <w:top w:val="nil"/>
              <w:left w:val="nil"/>
              <w:bottom w:val="nil"/>
              <w:right w:val="nil"/>
            </w:tcBorders>
            <w:vAlign w:val="bottom"/>
          </w:tcPr>
          <w:p w14:paraId="1F5D8CB3"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Log likelihood</w:t>
            </w:r>
          </w:p>
        </w:tc>
        <w:tc>
          <w:tcPr>
            <w:tcW w:w="846" w:type="dxa"/>
            <w:tcBorders>
              <w:top w:val="nil"/>
              <w:left w:val="nil"/>
              <w:bottom w:val="nil"/>
              <w:right w:val="nil"/>
            </w:tcBorders>
            <w:vAlign w:val="bottom"/>
          </w:tcPr>
          <w:p w14:paraId="62EB7DB3"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-23.64298</w:t>
            </w:r>
          </w:p>
        </w:tc>
      </w:tr>
      <w:tr w:rsidR="00F325A9" w14:paraId="1449EEEA" w14:textId="77777777" w:rsidTr="00F325A9">
        <w:trPr>
          <w:trHeight w:val="204"/>
        </w:trPr>
        <w:tc>
          <w:tcPr>
            <w:tcW w:w="1418" w:type="dxa"/>
            <w:tcBorders>
              <w:top w:val="nil"/>
              <w:left w:val="nil"/>
              <w:bottom w:val="nil"/>
              <w:right w:val="nil"/>
            </w:tcBorders>
            <w:vAlign w:val="bottom"/>
          </w:tcPr>
          <w:p w14:paraId="29754779"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r w:rsidRPr="00F325A9">
              <w:rPr>
                <w:rFonts w:ascii="Arial" w:hAnsi="Arial" w:cs="Arial"/>
                <w:color w:val="000000"/>
                <w:sz w:val="16"/>
                <w:szCs w:val="16"/>
              </w:rPr>
              <w:lastRenderedPageBreak/>
              <w:t>Hannan-Quinn criter.</w:t>
            </w:r>
          </w:p>
        </w:tc>
        <w:tc>
          <w:tcPr>
            <w:tcW w:w="850" w:type="dxa"/>
            <w:tcBorders>
              <w:top w:val="nil"/>
              <w:left w:val="nil"/>
              <w:bottom w:val="nil"/>
              <w:right w:val="nil"/>
            </w:tcBorders>
            <w:vAlign w:val="bottom"/>
          </w:tcPr>
          <w:p w14:paraId="1343A9BA"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0.923496</w:t>
            </w:r>
          </w:p>
        </w:tc>
        <w:tc>
          <w:tcPr>
            <w:tcW w:w="1706" w:type="dxa"/>
            <w:gridSpan w:val="2"/>
            <w:tcBorders>
              <w:top w:val="nil"/>
              <w:left w:val="nil"/>
              <w:bottom w:val="nil"/>
              <w:right w:val="nil"/>
            </w:tcBorders>
            <w:vAlign w:val="bottom"/>
          </w:tcPr>
          <w:p w14:paraId="25D303F6"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Deviance</w:t>
            </w:r>
          </w:p>
        </w:tc>
        <w:tc>
          <w:tcPr>
            <w:tcW w:w="846" w:type="dxa"/>
            <w:tcBorders>
              <w:top w:val="nil"/>
              <w:left w:val="nil"/>
              <w:bottom w:val="nil"/>
              <w:right w:val="nil"/>
            </w:tcBorders>
            <w:vAlign w:val="bottom"/>
          </w:tcPr>
          <w:p w14:paraId="2B4BC178"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47.28596</w:t>
            </w:r>
          </w:p>
        </w:tc>
      </w:tr>
      <w:tr w:rsidR="00F325A9" w14:paraId="7C137517" w14:textId="77777777" w:rsidTr="00F325A9">
        <w:trPr>
          <w:trHeight w:val="204"/>
        </w:trPr>
        <w:tc>
          <w:tcPr>
            <w:tcW w:w="1418" w:type="dxa"/>
            <w:tcBorders>
              <w:top w:val="nil"/>
              <w:left w:val="nil"/>
              <w:bottom w:val="nil"/>
              <w:right w:val="nil"/>
            </w:tcBorders>
            <w:vAlign w:val="bottom"/>
          </w:tcPr>
          <w:p w14:paraId="735F4412"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r w:rsidRPr="00F325A9">
              <w:rPr>
                <w:rFonts w:ascii="Arial" w:hAnsi="Arial" w:cs="Arial"/>
                <w:color w:val="000000"/>
                <w:sz w:val="16"/>
                <w:szCs w:val="16"/>
              </w:rPr>
              <w:t>Restr. deviance</w:t>
            </w:r>
          </w:p>
        </w:tc>
        <w:tc>
          <w:tcPr>
            <w:tcW w:w="850" w:type="dxa"/>
            <w:tcBorders>
              <w:top w:val="nil"/>
              <w:left w:val="nil"/>
              <w:bottom w:val="nil"/>
              <w:right w:val="nil"/>
            </w:tcBorders>
            <w:vAlign w:val="bottom"/>
          </w:tcPr>
          <w:p w14:paraId="28C3682B"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64.14019</w:t>
            </w:r>
          </w:p>
        </w:tc>
        <w:tc>
          <w:tcPr>
            <w:tcW w:w="1706" w:type="dxa"/>
            <w:gridSpan w:val="2"/>
            <w:tcBorders>
              <w:top w:val="nil"/>
              <w:left w:val="nil"/>
              <w:bottom w:val="nil"/>
              <w:right w:val="nil"/>
            </w:tcBorders>
            <w:vAlign w:val="bottom"/>
          </w:tcPr>
          <w:p w14:paraId="6B7FF663"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Restr. log likelihood</w:t>
            </w:r>
          </w:p>
        </w:tc>
        <w:tc>
          <w:tcPr>
            <w:tcW w:w="846" w:type="dxa"/>
            <w:tcBorders>
              <w:top w:val="nil"/>
              <w:left w:val="nil"/>
              <w:bottom w:val="nil"/>
              <w:right w:val="nil"/>
            </w:tcBorders>
            <w:vAlign w:val="bottom"/>
          </w:tcPr>
          <w:p w14:paraId="271C19B8"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-32.07009</w:t>
            </w:r>
          </w:p>
        </w:tc>
      </w:tr>
      <w:tr w:rsidR="00F325A9" w14:paraId="261BFFF5" w14:textId="77777777" w:rsidTr="00F325A9">
        <w:trPr>
          <w:trHeight w:val="204"/>
        </w:trPr>
        <w:tc>
          <w:tcPr>
            <w:tcW w:w="1418" w:type="dxa"/>
            <w:tcBorders>
              <w:top w:val="nil"/>
              <w:left w:val="nil"/>
              <w:bottom w:val="nil"/>
              <w:right w:val="nil"/>
            </w:tcBorders>
            <w:vAlign w:val="bottom"/>
          </w:tcPr>
          <w:p w14:paraId="117FFDFA"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r w:rsidRPr="00F325A9">
              <w:rPr>
                <w:rFonts w:ascii="Arial" w:hAnsi="Arial" w:cs="Arial"/>
                <w:color w:val="000000"/>
                <w:sz w:val="16"/>
                <w:szCs w:val="16"/>
              </w:rPr>
              <w:t>LR statistic</w:t>
            </w:r>
          </w:p>
        </w:tc>
        <w:tc>
          <w:tcPr>
            <w:tcW w:w="850" w:type="dxa"/>
            <w:tcBorders>
              <w:top w:val="nil"/>
              <w:left w:val="nil"/>
              <w:bottom w:val="nil"/>
              <w:right w:val="nil"/>
            </w:tcBorders>
            <w:vAlign w:val="bottom"/>
          </w:tcPr>
          <w:p w14:paraId="763F14CB"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16.85423</w:t>
            </w:r>
          </w:p>
        </w:tc>
        <w:tc>
          <w:tcPr>
            <w:tcW w:w="1706" w:type="dxa"/>
            <w:gridSpan w:val="2"/>
            <w:tcBorders>
              <w:top w:val="nil"/>
              <w:left w:val="nil"/>
              <w:bottom w:val="nil"/>
              <w:right w:val="nil"/>
            </w:tcBorders>
            <w:vAlign w:val="bottom"/>
          </w:tcPr>
          <w:p w14:paraId="6D0D99B1" w14:textId="77777777" w:rsidR="00F325A9" w:rsidRPr="00F325A9" w:rsidRDefault="00F325A9" w:rsidP="00E63A21">
            <w:pPr>
              <w:autoSpaceDE w:val="0"/>
              <w:autoSpaceDN w:val="0"/>
              <w:adjustRightInd w:val="0"/>
              <w:spacing w:after="0" w:line="240" w:lineRule="auto"/>
              <w:ind w:right="20"/>
              <w:rPr>
                <w:rFonts w:ascii="Arial" w:hAnsi="Arial" w:cs="Arial"/>
                <w:color w:val="000000"/>
                <w:sz w:val="16"/>
                <w:szCs w:val="16"/>
              </w:rPr>
            </w:pPr>
            <w:r w:rsidRPr="00F325A9">
              <w:rPr>
                <w:rFonts w:ascii="Arial" w:hAnsi="Arial" w:cs="Arial"/>
                <w:color w:val="000000"/>
                <w:sz w:val="16"/>
                <w:szCs w:val="16"/>
              </w:rPr>
              <w:t>    Avg. log likelihood</w:t>
            </w:r>
          </w:p>
        </w:tc>
        <w:tc>
          <w:tcPr>
            <w:tcW w:w="846" w:type="dxa"/>
            <w:tcBorders>
              <w:top w:val="nil"/>
              <w:left w:val="nil"/>
              <w:bottom w:val="nil"/>
              <w:right w:val="nil"/>
            </w:tcBorders>
            <w:vAlign w:val="bottom"/>
          </w:tcPr>
          <w:p w14:paraId="3DCE1582"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-0.337757</w:t>
            </w:r>
          </w:p>
        </w:tc>
      </w:tr>
      <w:tr w:rsidR="00F325A9" w14:paraId="7603F44B" w14:textId="77777777" w:rsidTr="00F325A9">
        <w:trPr>
          <w:trHeight w:val="204"/>
        </w:trPr>
        <w:tc>
          <w:tcPr>
            <w:tcW w:w="1418" w:type="dxa"/>
            <w:tcBorders>
              <w:top w:val="nil"/>
              <w:left w:val="nil"/>
              <w:bottom w:val="nil"/>
              <w:right w:val="nil"/>
            </w:tcBorders>
            <w:vAlign w:val="bottom"/>
          </w:tcPr>
          <w:p w14:paraId="1B372AC7" w14:textId="77777777" w:rsidR="00F325A9" w:rsidRPr="00F325A9" w:rsidRDefault="00F325A9" w:rsidP="00E63A21">
            <w:pPr>
              <w:autoSpaceDE w:val="0"/>
              <w:autoSpaceDN w:val="0"/>
              <w:adjustRightInd w:val="0"/>
              <w:spacing w:after="0" w:line="240" w:lineRule="auto"/>
              <w:rPr>
                <w:rFonts w:ascii="Arial" w:hAnsi="Arial" w:cs="Arial"/>
                <w:color w:val="000000"/>
                <w:sz w:val="16"/>
                <w:szCs w:val="16"/>
              </w:rPr>
            </w:pPr>
            <w:proofErr w:type="gramStart"/>
            <w:r w:rsidRPr="00F325A9">
              <w:rPr>
                <w:rFonts w:ascii="Arial" w:hAnsi="Arial" w:cs="Arial"/>
                <w:color w:val="000000"/>
                <w:sz w:val="16"/>
                <w:szCs w:val="16"/>
              </w:rPr>
              <w:t>Prob(</w:t>
            </w:r>
            <w:proofErr w:type="gramEnd"/>
            <w:r w:rsidRPr="00F325A9">
              <w:rPr>
                <w:rFonts w:ascii="Arial" w:hAnsi="Arial" w:cs="Arial"/>
                <w:color w:val="000000"/>
                <w:sz w:val="16"/>
                <w:szCs w:val="16"/>
              </w:rPr>
              <w:t>LR statistic)</w:t>
            </w:r>
          </w:p>
        </w:tc>
        <w:tc>
          <w:tcPr>
            <w:tcW w:w="850" w:type="dxa"/>
            <w:tcBorders>
              <w:top w:val="nil"/>
              <w:left w:val="nil"/>
              <w:bottom w:val="nil"/>
              <w:right w:val="nil"/>
            </w:tcBorders>
            <w:vAlign w:val="bottom"/>
          </w:tcPr>
          <w:p w14:paraId="2E70E6CA" w14:textId="77777777" w:rsidR="00F325A9" w:rsidRPr="00F325A9" w:rsidRDefault="00F325A9" w:rsidP="00E63A21">
            <w:pPr>
              <w:autoSpaceDE w:val="0"/>
              <w:autoSpaceDN w:val="0"/>
              <w:adjustRightInd w:val="0"/>
              <w:spacing w:after="0" w:line="240" w:lineRule="auto"/>
              <w:ind w:right="20"/>
              <w:jc w:val="right"/>
              <w:rPr>
                <w:rFonts w:ascii="Arial" w:hAnsi="Arial" w:cs="Arial"/>
                <w:color w:val="000000"/>
                <w:sz w:val="16"/>
                <w:szCs w:val="16"/>
              </w:rPr>
            </w:pPr>
            <w:r w:rsidRPr="00F325A9">
              <w:rPr>
                <w:rFonts w:ascii="Arial" w:hAnsi="Arial" w:cs="Arial"/>
                <w:color w:val="000000"/>
                <w:sz w:val="16"/>
                <w:szCs w:val="16"/>
              </w:rPr>
              <w:t>0.004785</w:t>
            </w:r>
          </w:p>
        </w:tc>
        <w:tc>
          <w:tcPr>
            <w:tcW w:w="1686" w:type="dxa"/>
            <w:tcBorders>
              <w:top w:val="nil"/>
              <w:left w:val="nil"/>
              <w:bottom w:val="nil"/>
              <w:right w:val="nil"/>
            </w:tcBorders>
            <w:vAlign w:val="bottom"/>
          </w:tcPr>
          <w:p w14:paraId="3C52ACB3" w14:textId="77777777" w:rsidR="00F325A9" w:rsidRPr="00F325A9" w:rsidRDefault="00F325A9" w:rsidP="00E63A21">
            <w:pPr>
              <w:autoSpaceDE w:val="0"/>
              <w:autoSpaceDN w:val="0"/>
              <w:adjustRightInd w:val="0"/>
              <w:spacing w:after="0" w:line="240" w:lineRule="auto"/>
              <w:ind w:right="20"/>
              <w:jc w:val="center"/>
              <w:rPr>
                <w:rFonts w:ascii="Arial" w:hAnsi="Arial" w:cs="Arial"/>
                <w:color w:val="000000"/>
                <w:sz w:val="16"/>
                <w:szCs w:val="16"/>
              </w:rPr>
            </w:pPr>
          </w:p>
        </w:tc>
        <w:tc>
          <w:tcPr>
            <w:tcW w:w="20" w:type="dxa"/>
            <w:tcBorders>
              <w:top w:val="nil"/>
              <w:left w:val="nil"/>
              <w:bottom w:val="nil"/>
              <w:right w:val="nil"/>
            </w:tcBorders>
            <w:vAlign w:val="bottom"/>
          </w:tcPr>
          <w:p w14:paraId="4AB81649" w14:textId="77777777" w:rsidR="00F325A9" w:rsidRPr="00F325A9" w:rsidRDefault="00F325A9" w:rsidP="00E63A21">
            <w:pPr>
              <w:autoSpaceDE w:val="0"/>
              <w:autoSpaceDN w:val="0"/>
              <w:adjustRightInd w:val="0"/>
              <w:spacing w:after="0" w:line="240" w:lineRule="auto"/>
              <w:ind w:right="20"/>
              <w:jc w:val="center"/>
              <w:rPr>
                <w:rFonts w:ascii="Arial" w:hAnsi="Arial" w:cs="Arial"/>
                <w:color w:val="000000"/>
                <w:sz w:val="16"/>
                <w:szCs w:val="16"/>
              </w:rPr>
            </w:pPr>
          </w:p>
        </w:tc>
        <w:tc>
          <w:tcPr>
            <w:tcW w:w="846" w:type="dxa"/>
            <w:tcBorders>
              <w:top w:val="nil"/>
              <w:left w:val="nil"/>
              <w:bottom w:val="nil"/>
              <w:right w:val="nil"/>
            </w:tcBorders>
            <w:vAlign w:val="bottom"/>
          </w:tcPr>
          <w:p w14:paraId="133BBE65" w14:textId="77777777" w:rsidR="00F325A9" w:rsidRPr="00F325A9" w:rsidRDefault="00F325A9" w:rsidP="00E63A21">
            <w:pPr>
              <w:autoSpaceDE w:val="0"/>
              <w:autoSpaceDN w:val="0"/>
              <w:adjustRightInd w:val="0"/>
              <w:spacing w:after="0" w:line="240" w:lineRule="auto"/>
              <w:ind w:right="20"/>
              <w:jc w:val="center"/>
              <w:rPr>
                <w:rFonts w:ascii="Arial" w:hAnsi="Arial" w:cs="Arial"/>
                <w:color w:val="000000"/>
                <w:sz w:val="16"/>
                <w:szCs w:val="16"/>
              </w:rPr>
            </w:pPr>
          </w:p>
        </w:tc>
      </w:tr>
      <w:tr w:rsidR="00F325A9" w14:paraId="4B872A2E" w14:textId="77777777" w:rsidTr="00F325A9">
        <w:trPr>
          <w:trHeight w:hRule="exact" w:val="81"/>
        </w:trPr>
        <w:tc>
          <w:tcPr>
            <w:tcW w:w="1418" w:type="dxa"/>
            <w:tcBorders>
              <w:top w:val="nil"/>
              <w:left w:val="nil"/>
              <w:bottom w:val="double" w:sz="6" w:space="0" w:color="auto"/>
              <w:right w:val="nil"/>
            </w:tcBorders>
            <w:vAlign w:val="bottom"/>
          </w:tcPr>
          <w:p w14:paraId="10BFC5A7" w14:textId="77777777" w:rsidR="00F325A9" w:rsidRPr="00F325A9" w:rsidRDefault="00F325A9" w:rsidP="00E63A21">
            <w:pPr>
              <w:autoSpaceDE w:val="0"/>
              <w:autoSpaceDN w:val="0"/>
              <w:adjustRightInd w:val="0"/>
              <w:spacing w:after="0" w:line="240" w:lineRule="auto"/>
              <w:jc w:val="center"/>
              <w:rPr>
                <w:rFonts w:ascii="Arial" w:hAnsi="Arial" w:cs="Arial"/>
                <w:color w:val="000000"/>
                <w:sz w:val="16"/>
                <w:szCs w:val="16"/>
              </w:rPr>
            </w:pPr>
          </w:p>
        </w:tc>
        <w:tc>
          <w:tcPr>
            <w:tcW w:w="850" w:type="dxa"/>
            <w:tcBorders>
              <w:top w:val="nil"/>
              <w:left w:val="nil"/>
              <w:bottom w:val="double" w:sz="6" w:space="0" w:color="auto"/>
              <w:right w:val="nil"/>
            </w:tcBorders>
            <w:vAlign w:val="bottom"/>
          </w:tcPr>
          <w:p w14:paraId="280E5A6E" w14:textId="77777777" w:rsidR="00F325A9" w:rsidRPr="00F325A9" w:rsidRDefault="00F325A9" w:rsidP="00E63A21">
            <w:pPr>
              <w:autoSpaceDE w:val="0"/>
              <w:autoSpaceDN w:val="0"/>
              <w:adjustRightInd w:val="0"/>
              <w:spacing w:after="0" w:line="240" w:lineRule="auto"/>
              <w:jc w:val="center"/>
              <w:rPr>
                <w:rFonts w:ascii="Arial" w:hAnsi="Arial" w:cs="Arial"/>
                <w:color w:val="000000"/>
                <w:sz w:val="16"/>
                <w:szCs w:val="16"/>
              </w:rPr>
            </w:pPr>
          </w:p>
        </w:tc>
        <w:tc>
          <w:tcPr>
            <w:tcW w:w="1686" w:type="dxa"/>
            <w:tcBorders>
              <w:top w:val="nil"/>
              <w:left w:val="nil"/>
              <w:bottom w:val="double" w:sz="6" w:space="0" w:color="auto"/>
              <w:right w:val="nil"/>
            </w:tcBorders>
            <w:vAlign w:val="bottom"/>
          </w:tcPr>
          <w:p w14:paraId="49B001BB" w14:textId="77777777" w:rsidR="00F325A9" w:rsidRPr="00F325A9" w:rsidRDefault="00F325A9" w:rsidP="00E63A21">
            <w:pPr>
              <w:autoSpaceDE w:val="0"/>
              <w:autoSpaceDN w:val="0"/>
              <w:adjustRightInd w:val="0"/>
              <w:spacing w:after="0" w:line="240" w:lineRule="auto"/>
              <w:jc w:val="center"/>
              <w:rPr>
                <w:rFonts w:ascii="Arial" w:hAnsi="Arial" w:cs="Arial"/>
                <w:color w:val="000000"/>
                <w:sz w:val="16"/>
                <w:szCs w:val="16"/>
              </w:rPr>
            </w:pPr>
          </w:p>
        </w:tc>
        <w:tc>
          <w:tcPr>
            <w:tcW w:w="20" w:type="dxa"/>
            <w:tcBorders>
              <w:top w:val="nil"/>
              <w:left w:val="nil"/>
              <w:bottom w:val="double" w:sz="6" w:space="0" w:color="auto"/>
              <w:right w:val="nil"/>
            </w:tcBorders>
            <w:vAlign w:val="bottom"/>
          </w:tcPr>
          <w:p w14:paraId="003F3FA0" w14:textId="77777777" w:rsidR="00F325A9" w:rsidRPr="00F325A9" w:rsidRDefault="00F325A9" w:rsidP="00E63A21">
            <w:pPr>
              <w:autoSpaceDE w:val="0"/>
              <w:autoSpaceDN w:val="0"/>
              <w:adjustRightInd w:val="0"/>
              <w:spacing w:after="0" w:line="240" w:lineRule="auto"/>
              <w:jc w:val="center"/>
              <w:rPr>
                <w:rFonts w:ascii="Arial" w:hAnsi="Arial" w:cs="Arial"/>
                <w:color w:val="000000"/>
                <w:sz w:val="16"/>
                <w:szCs w:val="16"/>
              </w:rPr>
            </w:pPr>
          </w:p>
        </w:tc>
        <w:tc>
          <w:tcPr>
            <w:tcW w:w="846" w:type="dxa"/>
            <w:tcBorders>
              <w:top w:val="nil"/>
              <w:left w:val="nil"/>
              <w:bottom w:val="double" w:sz="6" w:space="0" w:color="auto"/>
              <w:right w:val="nil"/>
            </w:tcBorders>
            <w:vAlign w:val="bottom"/>
          </w:tcPr>
          <w:p w14:paraId="157884B1" w14:textId="77777777" w:rsidR="00F325A9" w:rsidRPr="00F325A9" w:rsidRDefault="00F325A9" w:rsidP="00E63A21">
            <w:pPr>
              <w:autoSpaceDE w:val="0"/>
              <w:autoSpaceDN w:val="0"/>
              <w:adjustRightInd w:val="0"/>
              <w:spacing w:after="0" w:line="240" w:lineRule="auto"/>
              <w:jc w:val="center"/>
              <w:rPr>
                <w:rFonts w:ascii="Arial" w:hAnsi="Arial" w:cs="Arial"/>
                <w:color w:val="000000"/>
                <w:sz w:val="16"/>
                <w:szCs w:val="16"/>
              </w:rPr>
            </w:pPr>
          </w:p>
        </w:tc>
      </w:tr>
    </w:tbl>
    <w:bookmarkEnd w:id="3"/>
    <w:p w14:paraId="795D351E" w14:textId="6C27391E" w:rsidR="00F325A9" w:rsidRPr="00F325A9" w:rsidRDefault="00F325A9" w:rsidP="00F325A9">
      <w:pPr>
        <w:widowControl w:val="0"/>
        <w:autoSpaceDE w:val="0"/>
        <w:autoSpaceDN w:val="0"/>
        <w:adjustRightInd w:val="0"/>
        <w:spacing w:after="60" w:line="240" w:lineRule="auto"/>
        <w:jc w:val="both"/>
        <w:rPr>
          <w:color w:val="000000"/>
          <w:w w:val="102"/>
          <w:szCs w:val="20"/>
        </w:rPr>
      </w:pPr>
      <w:r w:rsidRPr="00F325A9">
        <w:rPr>
          <w:color w:val="000000"/>
          <w:w w:val="102"/>
          <w:szCs w:val="20"/>
        </w:rPr>
        <w:t xml:space="preserve">Pengujian keseluruhan model dilakukan pada tabel </w:t>
      </w:r>
      <w:r>
        <w:rPr>
          <w:color w:val="000000"/>
          <w:w w:val="102"/>
          <w:szCs w:val="20"/>
        </w:rPr>
        <w:t>4</w:t>
      </w:r>
      <w:r w:rsidRPr="00F325A9">
        <w:rPr>
          <w:color w:val="000000"/>
          <w:w w:val="102"/>
          <w:szCs w:val="20"/>
        </w:rPr>
        <w:t xml:space="preserve"> dengan membandingkan nilai antara -2 log Likelihood (-2LL) pada awal (Block Number = 0) dengan nilai -2 Log Likelihood (- 2LL) pada akhir (Block Number = 1). Apabila nilai -2LL Block Number 0 &gt; -2LL Block Number 1, maka menunjukkan bahwa model regresi fit dengan data. Hasil pengujian menunjukkan bahwa nilai -2LL Block Number = 0 untuk model regresi awal adalah </w:t>
      </w:r>
      <w:proofErr w:type="gramStart"/>
      <w:r w:rsidRPr="00F325A9">
        <w:rPr>
          <w:color w:val="000000"/>
          <w:w w:val="102"/>
          <w:szCs w:val="20"/>
        </w:rPr>
        <w:t>16.85423  dan</w:t>
      </w:r>
      <w:proofErr w:type="gramEnd"/>
      <w:r w:rsidRPr="00F325A9">
        <w:rPr>
          <w:color w:val="000000"/>
          <w:w w:val="102"/>
          <w:szCs w:val="20"/>
        </w:rPr>
        <w:t xml:space="preserve"> nilai -2LL Block Number = 1 untuk model regresi akhir adalah 0.004785. Berdasarkan data tersebut, dapat disimpulkan bahwa -2 Log Likelihood mengalami penurunan, sehingga model regresi mampu memprediksi nilai observasinya atau model yang digunakan fit dengan data.</w:t>
      </w:r>
    </w:p>
    <w:p w14:paraId="0B807A91" w14:textId="66CC238D" w:rsidR="00D6763D" w:rsidRDefault="00F325A9" w:rsidP="00F325A9">
      <w:pPr>
        <w:widowControl w:val="0"/>
        <w:autoSpaceDE w:val="0"/>
        <w:autoSpaceDN w:val="0"/>
        <w:adjustRightInd w:val="0"/>
        <w:spacing w:after="60" w:line="240" w:lineRule="auto"/>
        <w:jc w:val="both"/>
        <w:rPr>
          <w:color w:val="000000"/>
          <w:w w:val="102"/>
          <w:szCs w:val="20"/>
        </w:rPr>
      </w:pPr>
      <w:r w:rsidRPr="00F325A9">
        <w:rPr>
          <w:color w:val="000000"/>
          <w:w w:val="102"/>
          <w:szCs w:val="20"/>
        </w:rPr>
        <w:t>Koefisien determinasi (McFadden R-squared)</w:t>
      </w:r>
      <w:r>
        <w:rPr>
          <w:color w:val="000000"/>
          <w:w w:val="102"/>
          <w:szCs w:val="20"/>
        </w:rPr>
        <w:t xml:space="preserve"> </w:t>
      </w:r>
      <w:r w:rsidRPr="00F325A9">
        <w:rPr>
          <w:color w:val="000000"/>
          <w:w w:val="102"/>
          <w:szCs w:val="20"/>
        </w:rPr>
        <w:t xml:space="preserve">Pada output tabel 3 menujukkan bahwa nilai McFadden R-squared sebesar 0.262772, artinya bahwa variasi perubahan naik turunnya opini audit going concern dapat dijelaskan oleh variabel independennya yaitu Ukuran Perusahaan, Debt Default, Kondisi Keuangan, Pertumbuhan Perusahaan, </w:t>
      </w:r>
      <w:proofErr w:type="gramStart"/>
      <w:r w:rsidRPr="00F325A9">
        <w:rPr>
          <w:color w:val="000000"/>
          <w:w w:val="102"/>
          <w:szCs w:val="20"/>
        </w:rPr>
        <w:t>dan  Leverage</w:t>
      </w:r>
      <w:proofErr w:type="gramEnd"/>
      <w:r w:rsidRPr="00F325A9">
        <w:rPr>
          <w:color w:val="000000"/>
          <w:w w:val="102"/>
          <w:szCs w:val="20"/>
        </w:rPr>
        <w:t xml:space="preserve"> sebesar 26,23% sisanya dijelaskan oleh variabel lain yang tidak dimasukkan dalam penlitian ini.</w:t>
      </w:r>
    </w:p>
    <w:p w14:paraId="05A7A997" w14:textId="6654A96E" w:rsidR="00E30E10" w:rsidRDefault="00E30E10" w:rsidP="00E30E10">
      <w:pPr>
        <w:pStyle w:val="ListParagraph"/>
        <w:numPr>
          <w:ilvl w:val="1"/>
          <w:numId w:val="38"/>
        </w:numPr>
        <w:spacing w:after="0" w:line="240" w:lineRule="auto"/>
        <w:contextualSpacing/>
        <w:jc w:val="both"/>
        <w:rPr>
          <w:rFonts w:eastAsia="Palatino Linotype"/>
          <w:bCs/>
          <w:sz w:val="24"/>
          <w:szCs w:val="24"/>
        </w:rPr>
      </w:pPr>
      <w:r w:rsidRPr="00E30E10">
        <w:rPr>
          <w:rFonts w:eastAsia="Palatino Linotype"/>
          <w:bCs/>
          <w:sz w:val="24"/>
          <w:szCs w:val="24"/>
        </w:rPr>
        <w:t>Uji t</w:t>
      </w:r>
    </w:p>
    <w:p w14:paraId="58F4C032" w14:textId="0F4873EC" w:rsidR="00E30E10" w:rsidRPr="00E30E10" w:rsidRDefault="00E30E10" w:rsidP="00E30E10">
      <w:pPr>
        <w:pStyle w:val="ListParagraph"/>
        <w:spacing w:after="0" w:line="240" w:lineRule="auto"/>
        <w:ind w:left="360"/>
        <w:contextualSpacing/>
        <w:jc w:val="center"/>
        <w:rPr>
          <w:rFonts w:eastAsia="Palatino Linotype"/>
          <w:bCs/>
          <w:sz w:val="24"/>
          <w:szCs w:val="24"/>
          <w:lang w:val="en-US"/>
        </w:rPr>
      </w:pPr>
      <w:r>
        <w:rPr>
          <w:rFonts w:eastAsia="Palatino Linotype"/>
          <w:bCs/>
          <w:sz w:val="24"/>
          <w:szCs w:val="24"/>
          <w:lang w:val="en-US"/>
        </w:rPr>
        <w:t>Tabel 5</w:t>
      </w:r>
    </w:p>
    <w:tbl>
      <w:tblPr>
        <w:tblW w:w="4673" w:type="dxa"/>
        <w:jc w:val="center"/>
        <w:tblLayout w:type="fixed"/>
        <w:tblCellMar>
          <w:left w:w="0" w:type="dxa"/>
          <w:right w:w="0" w:type="dxa"/>
        </w:tblCellMar>
        <w:tblLook w:val="0000" w:firstRow="0" w:lastRow="0" w:firstColumn="0" w:lastColumn="0" w:noHBand="0" w:noVBand="0"/>
      </w:tblPr>
      <w:tblGrid>
        <w:gridCol w:w="1441"/>
        <w:gridCol w:w="789"/>
        <w:gridCol w:w="865"/>
        <w:gridCol w:w="864"/>
        <w:gridCol w:w="714"/>
      </w:tblGrid>
      <w:tr w:rsidR="00E30E10" w14:paraId="058DD869" w14:textId="77777777" w:rsidTr="00E30E10">
        <w:trPr>
          <w:trHeight w:val="316"/>
          <w:jc w:val="center"/>
        </w:trPr>
        <w:tc>
          <w:tcPr>
            <w:tcW w:w="3095" w:type="dxa"/>
            <w:gridSpan w:val="3"/>
            <w:tcBorders>
              <w:top w:val="nil"/>
              <w:left w:val="nil"/>
              <w:bottom w:val="nil"/>
              <w:right w:val="nil"/>
            </w:tcBorders>
            <w:vAlign w:val="bottom"/>
          </w:tcPr>
          <w:p w14:paraId="7ACD3855"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OAG</w:t>
            </w:r>
          </w:p>
        </w:tc>
        <w:tc>
          <w:tcPr>
            <w:tcW w:w="864" w:type="dxa"/>
            <w:tcBorders>
              <w:top w:val="nil"/>
              <w:left w:val="nil"/>
              <w:bottom w:val="nil"/>
              <w:right w:val="nil"/>
            </w:tcBorders>
            <w:vAlign w:val="bottom"/>
          </w:tcPr>
          <w:p w14:paraId="2DF6FB9B"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nil"/>
              <w:right w:val="nil"/>
            </w:tcBorders>
            <w:vAlign w:val="bottom"/>
          </w:tcPr>
          <w:p w14:paraId="771F4458"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6B5BFE53" w14:textId="77777777" w:rsidTr="00E30E10">
        <w:trPr>
          <w:trHeight w:val="316"/>
          <w:jc w:val="center"/>
        </w:trPr>
        <w:tc>
          <w:tcPr>
            <w:tcW w:w="4673" w:type="dxa"/>
            <w:gridSpan w:val="5"/>
            <w:tcBorders>
              <w:top w:val="nil"/>
              <w:left w:val="nil"/>
              <w:bottom w:val="nil"/>
              <w:right w:val="nil"/>
            </w:tcBorders>
            <w:vAlign w:val="bottom"/>
          </w:tcPr>
          <w:p w14:paraId="2DB3F21D"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Method: ML - Binary </w:t>
            </w:r>
            <w:proofErr w:type="gramStart"/>
            <w:r>
              <w:rPr>
                <w:rFonts w:ascii="Arial" w:hAnsi="Arial" w:cs="Arial"/>
                <w:color w:val="000000"/>
                <w:sz w:val="18"/>
                <w:szCs w:val="18"/>
              </w:rPr>
              <w:t>Logit  (</w:t>
            </w:r>
            <w:proofErr w:type="gramEnd"/>
            <w:r>
              <w:rPr>
                <w:rFonts w:ascii="Arial" w:hAnsi="Arial" w:cs="Arial"/>
                <w:color w:val="000000"/>
                <w:sz w:val="18"/>
                <w:szCs w:val="18"/>
              </w:rPr>
              <w:t>Newton-Raphson / Marquardt steps)</w:t>
            </w:r>
          </w:p>
        </w:tc>
      </w:tr>
      <w:tr w:rsidR="00E30E10" w14:paraId="1DBE080A" w14:textId="77777777" w:rsidTr="00E30E10">
        <w:trPr>
          <w:trHeight w:val="316"/>
          <w:jc w:val="center"/>
        </w:trPr>
        <w:tc>
          <w:tcPr>
            <w:tcW w:w="3959" w:type="dxa"/>
            <w:gridSpan w:val="4"/>
            <w:tcBorders>
              <w:top w:val="nil"/>
              <w:left w:val="nil"/>
              <w:bottom w:val="nil"/>
              <w:right w:val="nil"/>
            </w:tcBorders>
            <w:vAlign w:val="bottom"/>
          </w:tcPr>
          <w:p w14:paraId="4338B468"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12/01/22   Time: 15:06</w:t>
            </w:r>
          </w:p>
        </w:tc>
        <w:tc>
          <w:tcPr>
            <w:tcW w:w="714" w:type="dxa"/>
            <w:tcBorders>
              <w:top w:val="nil"/>
              <w:left w:val="nil"/>
              <w:bottom w:val="nil"/>
              <w:right w:val="nil"/>
            </w:tcBorders>
            <w:vAlign w:val="bottom"/>
          </w:tcPr>
          <w:p w14:paraId="716DD62A"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79DA6805" w14:textId="77777777" w:rsidTr="00E30E10">
        <w:trPr>
          <w:trHeight w:val="316"/>
          <w:jc w:val="center"/>
        </w:trPr>
        <w:tc>
          <w:tcPr>
            <w:tcW w:w="2230" w:type="dxa"/>
            <w:gridSpan w:val="2"/>
            <w:tcBorders>
              <w:top w:val="nil"/>
              <w:left w:val="nil"/>
              <w:bottom w:val="nil"/>
              <w:right w:val="nil"/>
            </w:tcBorders>
            <w:vAlign w:val="bottom"/>
          </w:tcPr>
          <w:p w14:paraId="1E472800"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 70</w:t>
            </w:r>
          </w:p>
        </w:tc>
        <w:tc>
          <w:tcPr>
            <w:tcW w:w="865" w:type="dxa"/>
            <w:tcBorders>
              <w:top w:val="nil"/>
              <w:left w:val="nil"/>
              <w:bottom w:val="nil"/>
              <w:right w:val="nil"/>
            </w:tcBorders>
            <w:vAlign w:val="bottom"/>
          </w:tcPr>
          <w:p w14:paraId="2AD63C9A"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nil"/>
              <w:right w:val="nil"/>
            </w:tcBorders>
            <w:vAlign w:val="bottom"/>
          </w:tcPr>
          <w:p w14:paraId="77DFA70D"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nil"/>
              <w:right w:val="nil"/>
            </w:tcBorders>
            <w:vAlign w:val="bottom"/>
          </w:tcPr>
          <w:p w14:paraId="5A188606"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0355AA32" w14:textId="77777777" w:rsidTr="00E30E10">
        <w:trPr>
          <w:trHeight w:val="316"/>
          <w:jc w:val="center"/>
        </w:trPr>
        <w:tc>
          <w:tcPr>
            <w:tcW w:w="3095" w:type="dxa"/>
            <w:gridSpan w:val="3"/>
            <w:tcBorders>
              <w:top w:val="nil"/>
              <w:left w:val="nil"/>
              <w:bottom w:val="nil"/>
              <w:right w:val="nil"/>
            </w:tcBorders>
            <w:vAlign w:val="bottom"/>
          </w:tcPr>
          <w:p w14:paraId="4AD591D6"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70</w:t>
            </w:r>
          </w:p>
        </w:tc>
        <w:tc>
          <w:tcPr>
            <w:tcW w:w="864" w:type="dxa"/>
            <w:tcBorders>
              <w:top w:val="nil"/>
              <w:left w:val="nil"/>
              <w:bottom w:val="nil"/>
              <w:right w:val="nil"/>
            </w:tcBorders>
            <w:vAlign w:val="bottom"/>
          </w:tcPr>
          <w:p w14:paraId="7E4888B1"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nil"/>
              <w:right w:val="nil"/>
            </w:tcBorders>
            <w:vAlign w:val="bottom"/>
          </w:tcPr>
          <w:p w14:paraId="3FB0F938"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32CDDB30" w14:textId="77777777" w:rsidTr="00E30E10">
        <w:trPr>
          <w:trHeight w:val="316"/>
          <w:jc w:val="center"/>
        </w:trPr>
        <w:tc>
          <w:tcPr>
            <w:tcW w:w="3959" w:type="dxa"/>
            <w:gridSpan w:val="4"/>
            <w:tcBorders>
              <w:top w:val="nil"/>
              <w:left w:val="nil"/>
              <w:bottom w:val="nil"/>
              <w:right w:val="nil"/>
            </w:tcBorders>
            <w:vAlign w:val="bottom"/>
          </w:tcPr>
          <w:p w14:paraId="086EF345"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Convergence achieved after 8 iterations</w:t>
            </w:r>
          </w:p>
        </w:tc>
        <w:tc>
          <w:tcPr>
            <w:tcW w:w="714" w:type="dxa"/>
            <w:tcBorders>
              <w:top w:val="nil"/>
              <w:left w:val="nil"/>
              <w:bottom w:val="nil"/>
              <w:right w:val="nil"/>
            </w:tcBorders>
            <w:vAlign w:val="bottom"/>
          </w:tcPr>
          <w:p w14:paraId="23774CE6"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2C4BFEBF" w14:textId="77777777" w:rsidTr="00E30E10">
        <w:trPr>
          <w:trHeight w:val="316"/>
          <w:jc w:val="center"/>
        </w:trPr>
        <w:tc>
          <w:tcPr>
            <w:tcW w:w="4673" w:type="dxa"/>
            <w:gridSpan w:val="5"/>
            <w:tcBorders>
              <w:top w:val="nil"/>
              <w:left w:val="nil"/>
              <w:bottom w:val="nil"/>
              <w:right w:val="nil"/>
            </w:tcBorders>
            <w:vAlign w:val="bottom"/>
          </w:tcPr>
          <w:p w14:paraId="1E5E8CCB" w14:textId="77777777" w:rsidR="00E30E10" w:rsidRDefault="00E30E10" w:rsidP="00E63A2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Coefficient covariance computed using observed Hessian</w:t>
            </w:r>
          </w:p>
        </w:tc>
      </w:tr>
      <w:tr w:rsidR="00E30E10" w14:paraId="4680F46F" w14:textId="77777777" w:rsidTr="00E30E10">
        <w:trPr>
          <w:trHeight w:hRule="exact" w:val="125"/>
          <w:jc w:val="center"/>
        </w:trPr>
        <w:tc>
          <w:tcPr>
            <w:tcW w:w="1441" w:type="dxa"/>
            <w:tcBorders>
              <w:top w:val="nil"/>
              <w:left w:val="nil"/>
              <w:bottom w:val="double" w:sz="6" w:space="2" w:color="auto"/>
              <w:right w:val="nil"/>
            </w:tcBorders>
            <w:vAlign w:val="bottom"/>
          </w:tcPr>
          <w:p w14:paraId="7A78A54C"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89" w:type="dxa"/>
            <w:tcBorders>
              <w:top w:val="nil"/>
              <w:left w:val="nil"/>
              <w:bottom w:val="double" w:sz="6" w:space="2" w:color="auto"/>
              <w:right w:val="nil"/>
            </w:tcBorders>
            <w:vAlign w:val="bottom"/>
          </w:tcPr>
          <w:p w14:paraId="016A527E"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5" w:type="dxa"/>
            <w:tcBorders>
              <w:top w:val="nil"/>
              <w:left w:val="nil"/>
              <w:bottom w:val="double" w:sz="6" w:space="2" w:color="auto"/>
              <w:right w:val="nil"/>
            </w:tcBorders>
            <w:vAlign w:val="bottom"/>
          </w:tcPr>
          <w:p w14:paraId="66EB653E"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double" w:sz="6" w:space="2" w:color="auto"/>
              <w:right w:val="nil"/>
            </w:tcBorders>
            <w:vAlign w:val="bottom"/>
          </w:tcPr>
          <w:p w14:paraId="6F97E193"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double" w:sz="6" w:space="2" w:color="auto"/>
              <w:right w:val="nil"/>
            </w:tcBorders>
            <w:vAlign w:val="bottom"/>
          </w:tcPr>
          <w:p w14:paraId="30B5B8D8"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7E919680" w14:textId="77777777" w:rsidTr="00E30E10">
        <w:trPr>
          <w:trHeight w:hRule="exact" w:val="189"/>
          <w:jc w:val="center"/>
        </w:trPr>
        <w:tc>
          <w:tcPr>
            <w:tcW w:w="1441" w:type="dxa"/>
            <w:tcBorders>
              <w:top w:val="nil"/>
              <w:left w:val="nil"/>
              <w:bottom w:val="nil"/>
              <w:right w:val="nil"/>
            </w:tcBorders>
            <w:vAlign w:val="bottom"/>
          </w:tcPr>
          <w:p w14:paraId="5C2E287B"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89" w:type="dxa"/>
            <w:tcBorders>
              <w:top w:val="nil"/>
              <w:left w:val="nil"/>
              <w:bottom w:val="nil"/>
              <w:right w:val="nil"/>
            </w:tcBorders>
            <w:vAlign w:val="bottom"/>
          </w:tcPr>
          <w:p w14:paraId="71D3CE92"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5" w:type="dxa"/>
            <w:tcBorders>
              <w:top w:val="nil"/>
              <w:left w:val="nil"/>
              <w:bottom w:val="nil"/>
              <w:right w:val="nil"/>
            </w:tcBorders>
            <w:vAlign w:val="bottom"/>
          </w:tcPr>
          <w:p w14:paraId="65A8B9B6"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nil"/>
              <w:right w:val="nil"/>
            </w:tcBorders>
            <w:vAlign w:val="bottom"/>
          </w:tcPr>
          <w:p w14:paraId="14E972EE"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nil"/>
              <w:right w:val="nil"/>
            </w:tcBorders>
            <w:vAlign w:val="bottom"/>
          </w:tcPr>
          <w:p w14:paraId="5AEAD8F2"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3B8535D3" w14:textId="77777777" w:rsidTr="00E30E10">
        <w:trPr>
          <w:trHeight w:val="316"/>
          <w:jc w:val="center"/>
        </w:trPr>
        <w:tc>
          <w:tcPr>
            <w:tcW w:w="1441" w:type="dxa"/>
            <w:tcBorders>
              <w:top w:val="nil"/>
              <w:left w:val="nil"/>
              <w:bottom w:val="nil"/>
              <w:right w:val="nil"/>
            </w:tcBorders>
            <w:vAlign w:val="bottom"/>
          </w:tcPr>
          <w:p w14:paraId="32479D7E"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789" w:type="dxa"/>
            <w:tcBorders>
              <w:top w:val="nil"/>
              <w:left w:val="nil"/>
              <w:bottom w:val="nil"/>
              <w:right w:val="nil"/>
            </w:tcBorders>
            <w:vAlign w:val="bottom"/>
          </w:tcPr>
          <w:p w14:paraId="0071C152"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Coefficient</w:t>
            </w:r>
          </w:p>
        </w:tc>
        <w:tc>
          <w:tcPr>
            <w:tcW w:w="865" w:type="dxa"/>
            <w:tcBorders>
              <w:top w:val="nil"/>
              <w:left w:val="nil"/>
              <w:bottom w:val="nil"/>
              <w:right w:val="nil"/>
            </w:tcBorders>
            <w:vAlign w:val="bottom"/>
          </w:tcPr>
          <w:p w14:paraId="27121266"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Std. Error</w:t>
            </w:r>
          </w:p>
        </w:tc>
        <w:tc>
          <w:tcPr>
            <w:tcW w:w="864" w:type="dxa"/>
            <w:tcBorders>
              <w:top w:val="nil"/>
              <w:left w:val="nil"/>
              <w:bottom w:val="nil"/>
              <w:right w:val="nil"/>
            </w:tcBorders>
            <w:vAlign w:val="bottom"/>
          </w:tcPr>
          <w:p w14:paraId="7B58A1F4"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z-Statistic</w:t>
            </w:r>
          </w:p>
        </w:tc>
        <w:tc>
          <w:tcPr>
            <w:tcW w:w="714" w:type="dxa"/>
            <w:tcBorders>
              <w:top w:val="nil"/>
              <w:left w:val="nil"/>
              <w:bottom w:val="nil"/>
              <w:right w:val="nil"/>
            </w:tcBorders>
            <w:vAlign w:val="bottom"/>
          </w:tcPr>
          <w:p w14:paraId="1249FD40"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Prob.  </w:t>
            </w:r>
          </w:p>
        </w:tc>
      </w:tr>
      <w:tr w:rsidR="00E30E10" w14:paraId="62FD27E2" w14:textId="77777777" w:rsidTr="00E30E10">
        <w:trPr>
          <w:trHeight w:hRule="exact" w:val="125"/>
          <w:jc w:val="center"/>
        </w:trPr>
        <w:tc>
          <w:tcPr>
            <w:tcW w:w="1441" w:type="dxa"/>
            <w:tcBorders>
              <w:top w:val="nil"/>
              <w:left w:val="nil"/>
              <w:bottom w:val="double" w:sz="6" w:space="2" w:color="auto"/>
              <w:right w:val="nil"/>
            </w:tcBorders>
            <w:vAlign w:val="bottom"/>
          </w:tcPr>
          <w:p w14:paraId="006EB4A0"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89" w:type="dxa"/>
            <w:tcBorders>
              <w:top w:val="nil"/>
              <w:left w:val="nil"/>
              <w:bottom w:val="double" w:sz="6" w:space="2" w:color="auto"/>
              <w:right w:val="nil"/>
            </w:tcBorders>
            <w:vAlign w:val="bottom"/>
          </w:tcPr>
          <w:p w14:paraId="321410DA"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5" w:type="dxa"/>
            <w:tcBorders>
              <w:top w:val="nil"/>
              <w:left w:val="nil"/>
              <w:bottom w:val="double" w:sz="6" w:space="2" w:color="auto"/>
              <w:right w:val="nil"/>
            </w:tcBorders>
            <w:vAlign w:val="bottom"/>
          </w:tcPr>
          <w:p w14:paraId="46D753E9"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double" w:sz="6" w:space="2" w:color="auto"/>
              <w:right w:val="nil"/>
            </w:tcBorders>
            <w:vAlign w:val="bottom"/>
          </w:tcPr>
          <w:p w14:paraId="4DBAF962"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double" w:sz="6" w:space="2" w:color="auto"/>
              <w:right w:val="nil"/>
            </w:tcBorders>
            <w:vAlign w:val="bottom"/>
          </w:tcPr>
          <w:p w14:paraId="18FDFDC5"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763DD75D" w14:textId="77777777" w:rsidTr="00E30E10">
        <w:trPr>
          <w:trHeight w:hRule="exact" w:val="189"/>
          <w:jc w:val="center"/>
        </w:trPr>
        <w:tc>
          <w:tcPr>
            <w:tcW w:w="1441" w:type="dxa"/>
            <w:tcBorders>
              <w:top w:val="nil"/>
              <w:left w:val="nil"/>
              <w:bottom w:val="nil"/>
              <w:right w:val="nil"/>
            </w:tcBorders>
            <w:vAlign w:val="bottom"/>
          </w:tcPr>
          <w:p w14:paraId="24F00795"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89" w:type="dxa"/>
            <w:tcBorders>
              <w:top w:val="nil"/>
              <w:left w:val="nil"/>
              <w:bottom w:val="nil"/>
              <w:right w:val="nil"/>
            </w:tcBorders>
            <w:vAlign w:val="bottom"/>
          </w:tcPr>
          <w:p w14:paraId="275FA9FC"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5" w:type="dxa"/>
            <w:tcBorders>
              <w:top w:val="nil"/>
              <w:left w:val="nil"/>
              <w:bottom w:val="nil"/>
              <w:right w:val="nil"/>
            </w:tcBorders>
            <w:vAlign w:val="bottom"/>
          </w:tcPr>
          <w:p w14:paraId="1C08EDA2"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nil"/>
              <w:right w:val="nil"/>
            </w:tcBorders>
            <w:vAlign w:val="bottom"/>
          </w:tcPr>
          <w:p w14:paraId="1D912576"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nil"/>
              <w:right w:val="nil"/>
            </w:tcBorders>
            <w:vAlign w:val="bottom"/>
          </w:tcPr>
          <w:p w14:paraId="6456EFE4"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67DDB610" w14:textId="77777777" w:rsidTr="00E30E10">
        <w:trPr>
          <w:trHeight w:val="316"/>
          <w:jc w:val="center"/>
        </w:trPr>
        <w:tc>
          <w:tcPr>
            <w:tcW w:w="1441" w:type="dxa"/>
            <w:tcBorders>
              <w:top w:val="nil"/>
              <w:left w:val="nil"/>
              <w:bottom w:val="nil"/>
              <w:right w:val="nil"/>
            </w:tcBorders>
            <w:vAlign w:val="bottom"/>
          </w:tcPr>
          <w:p w14:paraId="3D7C0D50"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789" w:type="dxa"/>
            <w:tcBorders>
              <w:top w:val="nil"/>
              <w:left w:val="nil"/>
              <w:bottom w:val="nil"/>
              <w:right w:val="nil"/>
            </w:tcBorders>
            <w:vAlign w:val="bottom"/>
          </w:tcPr>
          <w:p w14:paraId="5B1779B9"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1.121725</w:t>
            </w:r>
          </w:p>
        </w:tc>
        <w:tc>
          <w:tcPr>
            <w:tcW w:w="865" w:type="dxa"/>
            <w:tcBorders>
              <w:top w:val="nil"/>
              <w:left w:val="nil"/>
              <w:bottom w:val="nil"/>
              <w:right w:val="nil"/>
            </w:tcBorders>
            <w:vAlign w:val="bottom"/>
          </w:tcPr>
          <w:p w14:paraId="2EA588DF"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1.945776</w:t>
            </w:r>
          </w:p>
        </w:tc>
        <w:tc>
          <w:tcPr>
            <w:tcW w:w="864" w:type="dxa"/>
            <w:tcBorders>
              <w:top w:val="nil"/>
              <w:left w:val="nil"/>
              <w:bottom w:val="nil"/>
              <w:right w:val="nil"/>
            </w:tcBorders>
            <w:vAlign w:val="bottom"/>
          </w:tcPr>
          <w:p w14:paraId="1F80A49C"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0.576493</w:t>
            </w:r>
          </w:p>
        </w:tc>
        <w:tc>
          <w:tcPr>
            <w:tcW w:w="714" w:type="dxa"/>
            <w:tcBorders>
              <w:top w:val="nil"/>
              <w:left w:val="nil"/>
              <w:bottom w:val="nil"/>
              <w:right w:val="nil"/>
            </w:tcBorders>
            <w:vAlign w:val="bottom"/>
          </w:tcPr>
          <w:p w14:paraId="2537C718"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0.5643</w:t>
            </w:r>
          </w:p>
        </w:tc>
      </w:tr>
      <w:tr w:rsidR="00E30E10" w14:paraId="55AEABEA" w14:textId="77777777" w:rsidTr="00E30E10">
        <w:trPr>
          <w:trHeight w:val="316"/>
          <w:jc w:val="center"/>
        </w:trPr>
        <w:tc>
          <w:tcPr>
            <w:tcW w:w="1441" w:type="dxa"/>
            <w:tcBorders>
              <w:top w:val="nil"/>
              <w:left w:val="nil"/>
              <w:bottom w:val="nil"/>
              <w:right w:val="nil"/>
            </w:tcBorders>
            <w:vAlign w:val="bottom"/>
          </w:tcPr>
          <w:p w14:paraId="3F9E758E"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UKP</w:t>
            </w:r>
          </w:p>
        </w:tc>
        <w:tc>
          <w:tcPr>
            <w:tcW w:w="789" w:type="dxa"/>
            <w:tcBorders>
              <w:top w:val="nil"/>
              <w:left w:val="nil"/>
              <w:bottom w:val="nil"/>
              <w:right w:val="nil"/>
            </w:tcBorders>
            <w:vAlign w:val="bottom"/>
          </w:tcPr>
          <w:p w14:paraId="3D109816"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0.067862</w:t>
            </w:r>
          </w:p>
        </w:tc>
        <w:tc>
          <w:tcPr>
            <w:tcW w:w="865" w:type="dxa"/>
            <w:tcBorders>
              <w:top w:val="nil"/>
              <w:left w:val="nil"/>
              <w:bottom w:val="nil"/>
              <w:right w:val="nil"/>
            </w:tcBorders>
            <w:vAlign w:val="bottom"/>
          </w:tcPr>
          <w:p w14:paraId="40A7531E"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0.099527</w:t>
            </w:r>
          </w:p>
        </w:tc>
        <w:tc>
          <w:tcPr>
            <w:tcW w:w="864" w:type="dxa"/>
            <w:tcBorders>
              <w:top w:val="nil"/>
              <w:left w:val="nil"/>
              <w:bottom w:val="nil"/>
              <w:right w:val="nil"/>
            </w:tcBorders>
            <w:vAlign w:val="bottom"/>
          </w:tcPr>
          <w:p w14:paraId="6E2C788B"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0.681852</w:t>
            </w:r>
          </w:p>
        </w:tc>
        <w:tc>
          <w:tcPr>
            <w:tcW w:w="714" w:type="dxa"/>
            <w:tcBorders>
              <w:top w:val="nil"/>
              <w:left w:val="nil"/>
              <w:bottom w:val="nil"/>
              <w:right w:val="nil"/>
            </w:tcBorders>
            <w:vAlign w:val="bottom"/>
          </w:tcPr>
          <w:p w14:paraId="3B1953BF"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0.4953</w:t>
            </w:r>
          </w:p>
        </w:tc>
      </w:tr>
      <w:tr w:rsidR="00E30E10" w14:paraId="62D6E627" w14:textId="77777777" w:rsidTr="00E30E10">
        <w:trPr>
          <w:trHeight w:val="316"/>
          <w:jc w:val="center"/>
        </w:trPr>
        <w:tc>
          <w:tcPr>
            <w:tcW w:w="1441" w:type="dxa"/>
            <w:tcBorders>
              <w:top w:val="nil"/>
              <w:left w:val="nil"/>
              <w:bottom w:val="nil"/>
              <w:right w:val="nil"/>
            </w:tcBorders>
            <w:vAlign w:val="bottom"/>
          </w:tcPr>
          <w:p w14:paraId="29060E92"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CR</w:t>
            </w:r>
          </w:p>
        </w:tc>
        <w:tc>
          <w:tcPr>
            <w:tcW w:w="789" w:type="dxa"/>
            <w:tcBorders>
              <w:top w:val="nil"/>
              <w:left w:val="nil"/>
              <w:bottom w:val="nil"/>
              <w:right w:val="nil"/>
            </w:tcBorders>
            <w:vAlign w:val="bottom"/>
          </w:tcPr>
          <w:p w14:paraId="6869B35B"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-0.024700</w:t>
            </w:r>
          </w:p>
        </w:tc>
        <w:tc>
          <w:tcPr>
            <w:tcW w:w="865" w:type="dxa"/>
            <w:tcBorders>
              <w:top w:val="nil"/>
              <w:left w:val="nil"/>
              <w:bottom w:val="nil"/>
              <w:right w:val="nil"/>
            </w:tcBorders>
            <w:vAlign w:val="bottom"/>
          </w:tcPr>
          <w:p w14:paraId="3A128C5D"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0.119606</w:t>
            </w:r>
          </w:p>
        </w:tc>
        <w:tc>
          <w:tcPr>
            <w:tcW w:w="864" w:type="dxa"/>
            <w:tcBorders>
              <w:top w:val="nil"/>
              <w:left w:val="nil"/>
              <w:bottom w:val="nil"/>
              <w:right w:val="nil"/>
            </w:tcBorders>
            <w:vAlign w:val="bottom"/>
          </w:tcPr>
          <w:p w14:paraId="749FB19C"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-0.206512</w:t>
            </w:r>
          </w:p>
        </w:tc>
        <w:tc>
          <w:tcPr>
            <w:tcW w:w="714" w:type="dxa"/>
            <w:tcBorders>
              <w:top w:val="nil"/>
              <w:left w:val="nil"/>
              <w:bottom w:val="nil"/>
              <w:right w:val="nil"/>
            </w:tcBorders>
            <w:vAlign w:val="bottom"/>
          </w:tcPr>
          <w:p w14:paraId="2D6DA81B"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0.8364</w:t>
            </w:r>
          </w:p>
        </w:tc>
      </w:tr>
      <w:tr w:rsidR="00E30E10" w14:paraId="1F0A0E03" w14:textId="77777777" w:rsidTr="00E30E10">
        <w:trPr>
          <w:trHeight w:val="316"/>
          <w:jc w:val="center"/>
        </w:trPr>
        <w:tc>
          <w:tcPr>
            <w:tcW w:w="1441" w:type="dxa"/>
            <w:tcBorders>
              <w:top w:val="nil"/>
              <w:left w:val="nil"/>
              <w:bottom w:val="nil"/>
              <w:right w:val="nil"/>
            </w:tcBorders>
            <w:vAlign w:val="bottom"/>
          </w:tcPr>
          <w:p w14:paraId="694857E8"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ROA</w:t>
            </w:r>
          </w:p>
        </w:tc>
        <w:tc>
          <w:tcPr>
            <w:tcW w:w="789" w:type="dxa"/>
            <w:tcBorders>
              <w:top w:val="nil"/>
              <w:left w:val="nil"/>
              <w:bottom w:val="nil"/>
              <w:right w:val="nil"/>
            </w:tcBorders>
            <w:vAlign w:val="bottom"/>
          </w:tcPr>
          <w:p w14:paraId="17615525"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0.124715</w:t>
            </w:r>
          </w:p>
        </w:tc>
        <w:tc>
          <w:tcPr>
            <w:tcW w:w="865" w:type="dxa"/>
            <w:tcBorders>
              <w:top w:val="nil"/>
              <w:left w:val="nil"/>
              <w:bottom w:val="nil"/>
              <w:right w:val="nil"/>
            </w:tcBorders>
            <w:vAlign w:val="bottom"/>
          </w:tcPr>
          <w:p w14:paraId="0C0C3B92"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0.038948</w:t>
            </w:r>
          </w:p>
        </w:tc>
        <w:tc>
          <w:tcPr>
            <w:tcW w:w="864" w:type="dxa"/>
            <w:tcBorders>
              <w:top w:val="nil"/>
              <w:left w:val="nil"/>
              <w:bottom w:val="nil"/>
              <w:right w:val="nil"/>
            </w:tcBorders>
            <w:vAlign w:val="bottom"/>
          </w:tcPr>
          <w:p w14:paraId="4C55FC52"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3.202089</w:t>
            </w:r>
          </w:p>
        </w:tc>
        <w:tc>
          <w:tcPr>
            <w:tcW w:w="714" w:type="dxa"/>
            <w:tcBorders>
              <w:top w:val="nil"/>
              <w:left w:val="nil"/>
              <w:bottom w:val="nil"/>
              <w:right w:val="nil"/>
            </w:tcBorders>
            <w:vAlign w:val="bottom"/>
          </w:tcPr>
          <w:p w14:paraId="19BDBD0B"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0.0014</w:t>
            </w:r>
          </w:p>
        </w:tc>
      </w:tr>
      <w:tr w:rsidR="00E30E10" w14:paraId="152B0DB9" w14:textId="77777777" w:rsidTr="00E30E10">
        <w:trPr>
          <w:trHeight w:val="316"/>
          <w:jc w:val="center"/>
        </w:trPr>
        <w:tc>
          <w:tcPr>
            <w:tcW w:w="1441" w:type="dxa"/>
            <w:tcBorders>
              <w:top w:val="nil"/>
              <w:left w:val="nil"/>
              <w:bottom w:val="nil"/>
              <w:right w:val="nil"/>
            </w:tcBorders>
            <w:vAlign w:val="bottom"/>
          </w:tcPr>
          <w:p w14:paraId="5FC859B6"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GRWT</w:t>
            </w:r>
          </w:p>
        </w:tc>
        <w:tc>
          <w:tcPr>
            <w:tcW w:w="789" w:type="dxa"/>
            <w:tcBorders>
              <w:top w:val="nil"/>
              <w:left w:val="nil"/>
              <w:bottom w:val="nil"/>
              <w:right w:val="nil"/>
            </w:tcBorders>
            <w:vAlign w:val="bottom"/>
          </w:tcPr>
          <w:p w14:paraId="2426860B"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-8.807382</w:t>
            </w:r>
          </w:p>
        </w:tc>
        <w:tc>
          <w:tcPr>
            <w:tcW w:w="865" w:type="dxa"/>
            <w:tcBorders>
              <w:top w:val="nil"/>
              <w:left w:val="nil"/>
              <w:bottom w:val="nil"/>
              <w:right w:val="nil"/>
            </w:tcBorders>
            <w:vAlign w:val="bottom"/>
          </w:tcPr>
          <w:p w14:paraId="74F10F30"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3.351899</w:t>
            </w:r>
          </w:p>
        </w:tc>
        <w:tc>
          <w:tcPr>
            <w:tcW w:w="864" w:type="dxa"/>
            <w:tcBorders>
              <w:top w:val="nil"/>
              <w:left w:val="nil"/>
              <w:bottom w:val="nil"/>
              <w:right w:val="nil"/>
            </w:tcBorders>
            <w:vAlign w:val="bottom"/>
          </w:tcPr>
          <w:p w14:paraId="5EE0914F"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-2.627580</w:t>
            </w:r>
          </w:p>
        </w:tc>
        <w:tc>
          <w:tcPr>
            <w:tcW w:w="714" w:type="dxa"/>
            <w:tcBorders>
              <w:top w:val="nil"/>
              <w:left w:val="nil"/>
              <w:bottom w:val="nil"/>
              <w:right w:val="nil"/>
            </w:tcBorders>
            <w:vAlign w:val="bottom"/>
          </w:tcPr>
          <w:p w14:paraId="68335AB0"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0.0086</w:t>
            </w:r>
          </w:p>
        </w:tc>
      </w:tr>
      <w:tr w:rsidR="00E30E10" w14:paraId="7AB0C4B8" w14:textId="77777777" w:rsidTr="00E30E10">
        <w:trPr>
          <w:trHeight w:val="316"/>
          <w:jc w:val="center"/>
        </w:trPr>
        <w:tc>
          <w:tcPr>
            <w:tcW w:w="1441" w:type="dxa"/>
            <w:tcBorders>
              <w:top w:val="nil"/>
              <w:left w:val="nil"/>
              <w:bottom w:val="nil"/>
              <w:right w:val="nil"/>
            </w:tcBorders>
            <w:vAlign w:val="bottom"/>
          </w:tcPr>
          <w:p w14:paraId="2FBA2862"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DAR</w:t>
            </w:r>
          </w:p>
        </w:tc>
        <w:tc>
          <w:tcPr>
            <w:tcW w:w="789" w:type="dxa"/>
            <w:tcBorders>
              <w:top w:val="nil"/>
              <w:left w:val="nil"/>
              <w:bottom w:val="nil"/>
              <w:right w:val="nil"/>
            </w:tcBorders>
            <w:vAlign w:val="bottom"/>
          </w:tcPr>
          <w:p w14:paraId="13ABF798"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0.009402</w:t>
            </w:r>
          </w:p>
        </w:tc>
        <w:tc>
          <w:tcPr>
            <w:tcW w:w="865" w:type="dxa"/>
            <w:tcBorders>
              <w:top w:val="nil"/>
              <w:left w:val="nil"/>
              <w:bottom w:val="nil"/>
              <w:right w:val="nil"/>
            </w:tcBorders>
            <w:vAlign w:val="bottom"/>
          </w:tcPr>
          <w:p w14:paraId="47463A57"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0.053185</w:t>
            </w:r>
          </w:p>
        </w:tc>
        <w:tc>
          <w:tcPr>
            <w:tcW w:w="864" w:type="dxa"/>
            <w:tcBorders>
              <w:top w:val="nil"/>
              <w:left w:val="nil"/>
              <w:bottom w:val="nil"/>
              <w:right w:val="nil"/>
            </w:tcBorders>
            <w:vAlign w:val="bottom"/>
          </w:tcPr>
          <w:p w14:paraId="6C38F751"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0.176777</w:t>
            </w:r>
          </w:p>
        </w:tc>
        <w:tc>
          <w:tcPr>
            <w:tcW w:w="714" w:type="dxa"/>
            <w:tcBorders>
              <w:top w:val="nil"/>
              <w:left w:val="nil"/>
              <w:bottom w:val="nil"/>
              <w:right w:val="nil"/>
            </w:tcBorders>
            <w:vAlign w:val="bottom"/>
          </w:tcPr>
          <w:p w14:paraId="6074C4DA" w14:textId="77777777" w:rsidR="00E30E10" w:rsidRDefault="00E30E10" w:rsidP="00E63A21">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0.8597</w:t>
            </w:r>
          </w:p>
        </w:tc>
      </w:tr>
      <w:tr w:rsidR="00E30E10" w14:paraId="190030F6" w14:textId="77777777" w:rsidTr="00E30E10">
        <w:trPr>
          <w:trHeight w:hRule="exact" w:val="125"/>
          <w:jc w:val="center"/>
        </w:trPr>
        <w:tc>
          <w:tcPr>
            <w:tcW w:w="1441" w:type="dxa"/>
            <w:tcBorders>
              <w:top w:val="nil"/>
              <w:left w:val="nil"/>
              <w:bottom w:val="double" w:sz="6" w:space="0" w:color="auto"/>
              <w:right w:val="nil"/>
            </w:tcBorders>
            <w:vAlign w:val="bottom"/>
          </w:tcPr>
          <w:p w14:paraId="6A77CBC4"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89" w:type="dxa"/>
            <w:tcBorders>
              <w:top w:val="nil"/>
              <w:left w:val="nil"/>
              <w:bottom w:val="double" w:sz="6" w:space="0" w:color="auto"/>
              <w:right w:val="nil"/>
            </w:tcBorders>
            <w:vAlign w:val="bottom"/>
          </w:tcPr>
          <w:p w14:paraId="10D10109"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5" w:type="dxa"/>
            <w:tcBorders>
              <w:top w:val="nil"/>
              <w:left w:val="nil"/>
              <w:bottom w:val="double" w:sz="6" w:space="0" w:color="auto"/>
              <w:right w:val="nil"/>
            </w:tcBorders>
            <w:vAlign w:val="bottom"/>
          </w:tcPr>
          <w:p w14:paraId="3D218026"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double" w:sz="6" w:space="0" w:color="auto"/>
              <w:right w:val="nil"/>
            </w:tcBorders>
            <w:vAlign w:val="bottom"/>
          </w:tcPr>
          <w:p w14:paraId="493E0F64"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double" w:sz="6" w:space="0" w:color="auto"/>
              <w:right w:val="nil"/>
            </w:tcBorders>
            <w:vAlign w:val="bottom"/>
          </w:tcPr>
          <w:p w14:paraId="6CE14425"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r w:rsidR="00E30E10" w14:paraId="5811DDE2" w14:textId="77777777" w:rsidTr="00E30E10">
        <w:trPr>
          <w:trHeight w:hRule="exact" w:val="189"/>
          <w:jc w:val="center"/>
        </w:trPr>
        <w:tc>
          <w:tcPr>
            <w:tcW w:w="1441" w:type="dxa"/>
            <w:tcBorders>
              <w:top w:val="nil"/>
              <w:left w:val="nil"/>
              <w:bottom w:val="nil"/>
              <w:right w:val="nil"/>
            </w:tcBorders>
            <w:vAlign w:val="bottom"/>
          </w:tcPr>
          <w:p w14:paraId="37630809"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89" w:type="dxa"/>
            <w:tcBorders>
              <w:top w:val="nil"/>
              <w:left w:val="nil"/>
              <w:bottom w:val="nil"/>
              <w:right w:val="nil"/>
            </w:tcBorders>
            <w:vAlign w:val="bottom"/>
          </w:tcPr>
          <w:p w14:paraId="6D3823B9"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5" w:type="dxa"/>
            <w:tcBorders>
              <w:top w:val="nil"/>
              <w:left w:val="nil"/>
              <w:bottom w:val="nil"/>
              <w:right w:val="nil"/>
            </w:tcBorders>
            <w:vAlign w:val="bottom"/>
          </w:tcPr>
          <w:p w14:paraId="1DBF63F9"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864" w:type="dxa"/>
            <w:tcBorders>
              <w:top w:val="nil"/>
              <w:left w:val="nil"/>
              <w:bottom w:val="nil"/>
              <w:right w:val="nil"/>
            </w:tcBorders>
            <w:vAlign w:val="bottom"/>
          </w:tcPr>
          <w:p w14:paraId="526B135C"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c>
          <w:tcPr>
            <w:tcW w:w="714" w:type="dxa"/>
            <w:tcBorders>
              <w:top w:val="nil"/>
              <w:left w:val="nil"/>
              <w:bottom w:val="nil"/>
              <w:right w:val="nil"/>
            </w:tcBorders>
            <w:vAlign w:val="bottom"/>
          </w:tcPr>
          <w:p w14:paraId="70D28A55" w14:textId="77777777" w:rsidR="00E30E10" w:rsidRDefault="00E30E10" w:rsidP="00E63A21">
            <w:pPr>
              <w:autoSpaceDE w:val="0"/>
              <w:autoSpaceDN w:val="0"/>
              <w:adjustRightInd w:val="0"/>
              <w:spacing w:after="0" w:line="240" w:lineRule="auto"/>
              <w:jc w:val="center"/>
              <w:rPr>
                <w:rFonts w:ascii="Arial" w:hAnsi="Arial" w:cs="Arial"/>
                <w:color w:val="000000"/>
                <w:sz w:val="18"/>
                <w:szCs w:val="18"/>
              </w:rPr>
            </w:pPr>
          </w:p>
        </w:tc>
      </w:tr>
    </w:tbl>
    <w:p w14:paraId="407CD26E" w14:textId="2214AD3F" w:rsidR="00F325A9" w:rsidRDefault="00F325A9" w:rsidP="00F325A9">
      <w:pPr>
        <w:widowControl w:val="0"/>
        <w:autoSpaceDE w:val="0"/>
        <w:autoSpaceDN w:val="0"/>
        <w:adjustRightInd w:val="0"/>
        <w:spacing w:after="60" w:line="240" w:lineRule="auto"/>
        <w:jc w:val="both"/>
        <w:rPr>
          <w:color w:val="000000"/>
          <w:w w:val="102"/>
          <w:szCs w:val="20"/>
        </w:rPr>
      </w:pPr>
    </w:p>
    <w:p w14:paraId="5FD07F96" w14:textId="77777777" w:rsidR="00E30E10" w:rsidRPr="00E30E10" w:rsidRDefault="00E30E10" w:rsidP="00E30E10">
      <w:pPr>
        <w:spacing w:after="0" w:line="240" w:lineRule="auto"/>
        <w:jc w:val="both"/>
        <w:rPr>
          <w:b/>
          <w:bCs/>
          <w:color w:val="000000" w:themeColor="text1"/>
          <w:szCs w:val="20"/>
        </w:rPr>
      </w:pPr>
      <w:r w:rsidRPr="00F75254">
        <w:rPr>
          <w:b/>
          <w:bCs/>
          <w:color w:val="000000" w:themeColor="text1"/>
          <w:sz w:val="24"/>
          <w:szCs w:val="24"/>
        </w:rPr>
        <w:t xml:space="preserve">Pengaruh </w:t>
      </w:r>
      <w:r w:rsidRPr="00FA48C9">
        <w:rPr>
          <w:b/>
          <w:bCs/>
          <w:color w:val="000000" w:themeColor="text1"/>
          <w:sz w:val="24"/>
          <w:szCs w:val="24"/>
        </w:rPr>
        <w:t xml:space="preserve">Ukuran Perusahaan, </w:t>
      </w:r>
      <w:r w:rsidRPr="00FA48C9">
        <w:rPr>
          <w:b/>
          <w:bCs/>
          <w:i/>
          <w:iCs/>
          <w:color w:val="000000" w:themeColor="text1"/>
          <w:sz w:val="24"/>
          <w:szCs w:val="24"/>
        </w:rPr>
        <w:t xml:space="preserve">Debt </w:t>
      </w:r>
      <w:r w:rsidRPr="00E30E10">
        <w:rPr>
          <w:b/>
          <w:bCs/>
          <w:i/>
          <w:iCs/>
          <w:color w:val="000000" w:themeColor="text1"/>
          <w:szCs w:val="20"/>
        </w:rPr>
        <w:t>Default</w:t>
      </w:r>
      <w:r w:rsidRPr="00E30E10">
        <w:rPr>
          <w:b/>
          <w:bCs/>
          <w:color w:val="000000" w:themeColor="text1"/>
          <w:szCs w:val="20"/>
        </w:rPr>
        <w:t xml:space="preserve">, Kondisi Keuangan, Pertumbuhan Perusahaan, </w:t>
      </w:r>
      <w:r w:rsidRPr="00E30E10">
        <w:rPr>
          <w:b/>
          <w:bCs/>
          <w:i/>
          <w:iCs/>
          <w:color w:val="000000" w:themeColor="text1"/>
          <w:szCs w:val="20"/>
        </w:rPr>
        <w:t xml:space="preserve">Leverage </w:t>
      </w:r>
      <w:r w:rsidRPr="00E30E10">
        <w:rPr>
          <w:b/>
          <w:bCs/>
          <w:color w:val="000000" w:themeColor="text1"/>
          <w:szCs w:val="20"/>
        </w:rPr>
        <w:t xml:space="preserve">terhadap penerimaan Opini </w:t>
      </w:r>
      <w:r w:rsidRPr="00E30E10">
        <w:rPr>
          <w:b/>
          <w:bCs/>
          <w:i/>
          <w:iCs/>
          <w:color w:val="000000" w:themeColor="text1"/>
          <w:szCs w:val="20"/>
        </w:rPr>
        <w:t>Audit Going Concern</w:t>
      </w:r>
    </w:p>
    <w:p w14:paraId="5CBB8CC2" w14:textId="77777777" w:rsidR="00E30E10" w:rsidRPr="00E30E10" w:rsidRDefault="00E30E10" w:rsidP="00E30E10">
      <w:pPr>
        <w:spacing w:after="0" w:line="240" w:lineRule="auto"/>
        <w:jc w:val="both"/>
        <w:rPr>
          <w:szCs w:val="20"/>
        </w:rPr>
      </w:pPr>
      <w:r w:rsidRPr="00E30E10">
        <w:rPr>
          <w:szCs w:val="20"/>
        </w:rPr>
        <w:t xml:space="preserve">Hasil variabel independen terhadap variabel dependen dapat dilihat pada tabel </w:t>
      </w:r>
      <w:proofErr w:type="gramStart"/>
      <w:r w:rsidRPr="00E30E10">
        <w:rPr>
          <w:szCs w:val="20"/>
        </w:rPr>
        <w:t>3  diketahui</w:t>
      </w:r>
      <w:proofErr w:type="gramEnd"/>
      <w:r w:rsidRPr="00E30E10">
        <w:rPr>
          <w:szCs w:val="20"/>
        </w:rPr>
        <w:t xml:space="preserve"> nilai LR statistic sebesar 16.85423, sementara F tabel dengan tingkat α = 5%, df1(k-1) =5-1= 4 dan df2 (n-k) =70-5= 65 didapat nilai F Tabel sebesar 2.36. Dengan demikian F-statistic (16.85432) &gt; F Tabel (2.36) dan nilai </w:t>
      </w:r>
      <w:proofErr w:type="gramStart"/>
      <w:r w:rsidRPr="00E30E10">
        <w:rPr>
          <w:szCs w:val="20"/>
        </w:rPr>
        <w:t>prob(</w:t>
      </w:r>
      <w:proofErr w:type="gramEnd"/>
      <w:r w:rsidRPr="00E30E10">
        <w:rPr>
          <w:szCs w:val="20"/>
        </w:rPr>
        <w:t xml:space="preserve">Fstatistic) 0.004795 &lt; 0,05 maka dapat disimpulkan bahwa Ha diterima dan Ho ditolak, dengan demikian H1 diterima. Maka dapat di simpulkan bahwa Bersama sama variabel </w:t>
      </w:r>
      <w:bookmarkStart w:id="4" w:name="_Hlk122076896"/>
      <w:r w:rsidRPr="00E30E10">
        <w:rPr>
          <w:rFonts w:eastAsia="Palatino Linotype"/>
          <w:bCs/>
          <w:szCs w:val="20"/>
        </w:rPr>
        <w:t xml:space="preserve">Ukuran Perusahaan, </w:t>
      </w:r>
      <w:r w:rsidRPr="00E30E10">
        <w:rPr>
          <w:rFonts w:eastAsia="Palatino Linotype"/>
          <w:bCs/>
          <w:i/>
          <w:iCs/>
          <w:szCs w:val="20"/>
        </w:rPr>
        <w:t>Debt Default</w:t>
      </w:r>
      <w:r w:rsidRPr="00E30E10">
        <w:rPr>
          <w:rFonts w:eastAsia="Palatino Linotype"/>
          <w:bCs/>
          <w:szCs w:val="20"/>
        </w:rPr>
        <w:t>, Kondisi Keuangan, Pertumbuhan Perusahaan dan</w:t>
      </w:r>
      <w:r w:rsidRPr="00E30E10">
        <w:rPr>
          <w:rFonts w:eastAsia="Palatino Linotype"/>
          <w:bCs/>
          <w:i/>
          <w:iCs/>
          <w:szCs w:val="20"/>
        </w:rPr>
        <w:t xml:space="preserve"> Leverage</w:t>
      </w:r>
      <w:bookmarkEnd w:id="4"/>
      <w:r w:rsidRPr="00E30E10">
        <w:rPr>
          <w:rFonts w:eastAsia="Palatino Linotype"/>
          <w:bCs/>
          <w:szCs w:val="20"/>
        </w:rPr>
        <w:t xml:space="preserve"> mempengaruhi Penerimaan </w:t>
      </w:r>
      <w:r w:rsidRPr="00E30E10">
        <w:rPr>
          <w:rFonts w:eastAsia="Palatino Linotype"/>
          <w:bCs/>
          <w:i/>
          <w:iCs/>
          <w:szCs w:val="20"/>
        </w:rPr>
        <w:t>Opini Audit Going Concern</w:t>
      </w:r>
      <w:r w:rsidRPr="00E30E10">
        <w:rPr>
          <w:rFonts w:eastAsia="Palatino Linotype"/>
          <w:bCs/>
          <w:szCs w:val="20"/>
        </w:rPr>
        <w:t xml:space="preserve">. </w:t>
      </w:r>
      <w:r w:rsidRPr="00E30E10">
        <w:rPr>
          <w:szCs w:val="20"/>
        </w:rPr>
        <w:t xml:space="preserve">buah perusahaan yang dikelola oleh agen yang bertindak sesuai dengan kepentingan prinsipal dengan menetapkan auditor dalam penerimaan opini </w:t>
      </w:r>
      <w:r w:rsidRPr="00E30E10">
        <w:rPr>
          <w:i/>
          <w:iCs/>
          <w:szCs w:val="20"/>
        </w:rPr>
        <w:t>audit going concern</w:t>
      </w:r>
      <w:r w:rsidRPr="00E30E10">
        <w:rPr>
          <w:szCs w:val="20"/>
        </w:rPr>
        <w:t xml:space="preserve">. Auditor yang baik akan membawa perusahaan kearah yang lebih baik, ini dikarenakan semua pihak memiliki tujuan yang sama untuk memaksimumkan nilai perusahan. Dengan dikendalikannya perusahaan oleh pihak yang profesional membuat perusahaan memperoleh laba dari aktivitas kegiatan operasi perusahaan dengan berdampak kepada terhindarnya perusahaan dari kondisi penerimaan opini </w:t>
      </w:r>
      <w:r w:rsidRPr="00E30E10">
        <w:rPr>
          <w:i/>
          <w:iCs/>
          <w:szCs w:val="20"/>
        </w:rPr>
        <w:t>audit going concern.</w:t>
      </w:r>
    </w:p>
    <w:p w14:paraId="78BAB471" w14:textId="77777777" w:rsidR="00E30E10" w:rsidRPr="00E30E10" w:rsidRDefault="00E30E10" w:rsidP="00E30E10">
      <w:pPr>
        <w:spacing w:after="0" w:line="240" w:lineRule="auto"/>
        <w:jc w:val="both"/>
        <w:rPr>
          <w:b/>
          <w:bCs/>
          <w:i/>
          <w:iCs/>
          <w:color w:val="000000" w:themeColor="text1"/>
          <w:szCs w:val="20"/>
        </w:rPr>
      </w:pPr>
      <w:r w:rsidRPr="00E30E10">
        <w:rPr>
          <w:b/>
          <w:bCs/>
          <w:color w:val="000000" w:themeColor="text1"/>
          <w:szCs w:val="20"/>
        </w:rPr>
        <w:t xml:space="preserve">Pengaruh Ukuran Perusahaan terhadap penerimaan Opini </w:t>
      </w:r>
      <w:r w:rsidRPr="00E30E10">
        <w:rPr>
          <w:b/>
          <w:bCs/>
          <w:i/>
          <w:iCs/>
          <w:color w:val="000000" w:themeColor="text1"/>
          <w:szCs w:val="20"/>
        </w:rPr>
        <w:t>Audit Going Concern</w:t>
      </w:r>
    </w:p>
    <w:p w14:paraId="2DA945C4" w14:textId="77777777" w:rsidR="00E30E10" w:rsidRPr="00E30E10" w:rsidRDefault="00E30E10" w:rsidP="00E30E10">
      <w:pPr>
        <w:spacing w:after="0" w:line="240" w:lineRule="auto"/>
        <w:jc w:val="both"/>
        <w:rPr>
          <w:color w:val="000000" w:themeColor="text1"/>
          <w:szCs w:val="20"/>
        </w:rPr>
      </w:pPr>
      <w:r w:rsidRPr="00E30E10">
        <w:rPr>
          <w:color w:val="000000" w:themeColor="text1"/>
          <w:szCs w:val="20"/>
        </w:rPr>
        <w:t>Berdasarkan hasil pada tabel 4 diketahui bahwa t hitung sebesar 0.576 &lt; 1.99 dan nilai Prob 0.5643 &gt;0.</w:t>
      </w:r>
      <w:proofErr w:type="gramStart"/>
      <w:r w:rsidRPr="00E30E10">
        <w:rPr>
          <w:color w:val="000000" w:themeColor="text1"/>
          <w:szCs w:val="20"/>
        </w:rPr>
        <w:t>05  maka</w:t>
      </w:r>
      <w:proofErr w:type="gramEnd"/>
      <w:r w:rsidRPr="00E30E10">
        <w:rPr>
          <w:color w:val="000000" w:themeColor="text1"/>
          <w:szCs w:val="20"/>
        </w:rPr>
        <w:t xml:space="preserve"> dapat disimpulkan bahwa ukuran perusahaan tidak berpengaruh terhadap penerimaan opini </w:t>
      </w:r>
      <w:r w:rsidRPr="00E30E10">
        <w:rPr>
          <w:i/>
          <w:iCs/>
          <w:color w:val="000000" w:themeColor="text1"/>
          <w:szCs w:val="20"/>
        </w:rPr>
        <w:t>Audit going Concern</w:t>
      </w:r>
      <w:r w:rsidRPr="00E30E10">
        <w:rPr>
          <w:color w:val="000000" w:themeColor="text1"/>
          <w:szCs w:val="20"/>
        </w:rPr>
        <w:t xml:space="preserve">. Penelitian ini mendukung penelitian yang dilakukan oleh </w:t>
      </w:r>
      <w:r w:rsidRPr="00E30E10">
        <w:rPr>
          <w:color w:val="000000" w:themeColor="text1"/>
          <w:szCs w:val="20"/>
        </w:rPr>
        <w:fldChar w:fldCharType="begin" w:fldLock="1"/>
      </w:r>
      <w:r w:rsidRPr="00E30E10">
        <w:rPr>
          <w:color w:val="000000" w:themeColor="text1"/>
          <w:szCs w:val="20"/>
        </w:rPr>
        <w:instrText>ADDIN CSL_CITATION {"citationItems":[{"id":"ITEM-1","itemData":{"abstract":"… opini audit going concern, opinion shopping berpengaruh positif terhadap opini audit going concern, … dan ukuran perusahaan tidak berpengaruh terhadap opini audit going concern. …","author":[{"dropping-particle":"","family":"Putranto","given":"P","non-dropping-particle":"","parse-names":false,"suffix":""}],"container-title":"Jurnal Online Insan Akuntan","id":"ITEM-1","issued":{"date-parts":[["2018"]]},"note":"Cited By (since 2018): 6","publisher":"ejournal-binainsani.ac.id","title":"Faktor-faktor yang Berdampak pada Penerimaan Opini Audit Going Concern","type":"article-journal"},"uris":["http://www.mendeley.com/documents/?uuid=444c776b-95ec-42e0-8f24-0db2130ef730"]},{"id":"ITEM-2","itemData":{"abstract":"… opini audit going concern, sedangkan ukuran perusahaan dan ukuran kantor akuntan publik tidak berpengaruh pada opini audit going concern. … penerimaan opini audit going concern. …","author":[{"dropping-particle":"","family":"Aprillia","given":"D","non-dropping-particle":"","parse-names":false,"suffix":""},{"dropping-particle":"","family":"Atari","given":"E","non-dropping-particle":"","parse-names":false,"suffix":""},{"dropping-particle":"","family":"Hermiyetti","given":"H","non-dropping-particle":"","parse-names":false,"suffix":""}],"container-title":"Media Riset Akuntansi","id":"ITEM-2","issued":{"date-parts":[["2022"]]},"publisher":"journal.bakrie.ac.id","title":"Faktor-faktor yang Memengaruhi Opini Audit Going Concern","type":"article-journal"},"uris":["http://www.mendeley.com/documents/?uuid=935a665d-8883-4030-9e53-93e3bd018f90"]}],"mendeley":{"formattedCitation":"(Aprillia, Atari, dan Hermiyetti 2022; Putranto 2018)","plainTextFormattedCitation":"(Aprillia, Atari, dan Hermiyetti 2022; Putranto 2018)","previouslyFormattedCitation":"(Aprillia, Atari, dan Hermiyetti 2022; Putranto 2018)"},"properties":{"noteIndex":0},"schema":"https://github.com/citation-style-language/schema/raw/master/csl-citation.json"}</w:instrText>
      </w:r>
      <w:r w:rsidRPr="00E30E10">
        <w:rPr>
          <w:color w:val="000000" w:themeColor="text1"/>
          <w:szCs w:val="20"/>
        </w:rPr>
        <w:fldChar w:fldCharType="separate"/>
      </w:r>
      <w:r w:rsidRPr="00E30E10">
        <w:rPr>
          <w:noProof/>
          <w:color w:val="000000" w:themeColor="text1"/>
          <w:szCs w:val="20"/>
        </w:rPr>
        <w:t>(Aprillia, Atari, dan Hermiyetti 2022; Putranto 2018)</w:t>
      </w:r>
      <w:r w:rsidRPr="00E30E10">
        <w:rPr>
          <w:color w:val="000000" w:themeColor="text1"/>
          <w:szCs w:val="20"/>
        </w:rPr>
        <w:fldChar w:fldCharType="end"/>
      </w:r>
      <w:r w:rsidRPr="00E30E10">
        <w:rPr>
          <w:color w:val="000000" w:themeColor="text1"/>
          <w:szCs w:val="20"/>
        </w:rPr>
        <w:t xml:space="preserve"> yang hasil temuan dari penelitian tersebut sama dengan penelitian ini, namun disisi lain penelitian ini bertolak belakan dengan penelitian </w:t>
      </w:r>
      <w:r w:rsidRPr="00E30E10">
        <w:rPr>
          <w:color w:val="000000" w:themeColor="text1"/>
          <w:szCs w:val="20"/>
        </w:rPr>
        <w:fldChar w:fldCharType="begin" w:fldLock="1"/>
      </w:r>
      <w:r w:rsidRPr="00E30E10">
        <w:rPr>
          <w:color w:val="000000" w:themeColor="text1"/>
          <w:szCs w:val="20"/>
        </w:rPr>
        <w:instrText>ADDIN CSL_CITATION {"citationItems":[{"id":"ITEM-1","itemData":{"abstract":"… terhadap penerimaan opini audit going concern. … opini audit going concern. Dan ukuran perusahaan dan quick ratio berpengaruh positif terhadap penerimaan opini audit going concern…","author":[{"dropping-particle":"","family":"Siallagan","given":"T","non-dropping-particle":"","parse-names":false,"suffix":""},{"dropping-particle":"","family":"Silalahi","given":"M A","non-dropping-particle":"","parse-names":false,"suffix":""},{"dropping-particle":"","family":"Hayati","given":"K","non-dropping-particle":"","parse-names":false,"suffix":""}],"container-title":"AKUNTABEL","id":"ITEM-1","issued":{"date-parts":[["2020"]]},"note":"Cited By (since 2020): 3","publisher":"journal.feb.unmul.ac.id","title":"Pengaruh rasio keuangan terhadap penerimaan opini audit going concern tahun (2016–2018)","type":"article-journal"},"uris":["http://www.mendeley.com/documents/?uuid=d1a30065-7be3-4617-b6aa-57a1459d48d7"]},{"id":"ITEM-2","itemData":{"abstract":"… terhadap opini audit going concern. Sedangkan ukuran perusahaan dan opini audit tahun sebelumnya berpengaruh signifikan terhadap penerimaan opini audit going concern. …","author":[{"dropping-particle":"","family":"Kristianasari","given":"E P","non-dropping-particle":"","parse-names":false,"suffix":""},{"dropping-particle":"","family":"Ismawati","given":"K","non-dropping-particle":"","parse-names":false,"suffix":""}],"container-title":"Jurnal Ekonomi dan Bisnis …","id":"ITEM-2","issued":{"date-parts":[["2022"]]},"publisher":"jurnal.unidha.ac.id","title":"Faktor Pengaruh Penerimaan Opini Audit Going Concern","type":"article-journal"},"uris":["http://www.mendeley.com/documents/?uuid=419f6704-a2e4-4b14-a297-7eb8f9a7e4b2"]}],"mendeley":{"formattedCitation":"(Kristianasari dan Ismawati 2022; Siallagan, Silalahi, dan Hayati 2020)","plainTextFormattedCitation":"(Kristianasari dan Ismawati 2022; Siallagan, Silalahi, dan Hayati 2020)","previouslyFormattedCitation":"(Kristianasari dan Ismawati 2022; Siallagan, Silalahi, dan Hayati 2020)"},"properties":{"noteIndex":0},"schema":"https://github.com/citation-style-language/schema/raw/master/csl-citation.json"}</w:instrText>
      </w:r>
      <w:r w:rsidRPr="00E30E10">
        <w:rPr>
          <w:color w:val="000000" w:themeColor="text1"/>
          <w:szCs w:val="20"/>
        </w:rPr>
        <w:fldChar w:fldCharType="separate"/>
      </w:r>
      <w:r w:rsidRPr="00E30E10">
        <w:rPr>
          <w:noProof/>
          <w:color w:val="000000" w:themeColor="text1"/>
          <w:szCs w:val="20"/>
        </w:rPr>
        <w:t>(Kristianasari dan Ismawati 2022; Siallagan, Silalahi, dan Hayati 2020)</w:t>
      </w:r>
      <w:r w:rsidRPr="00E30E10">
        <w:rPr>
          <w:color w:val="000000" w:themeColor="text1"/>
          <w:szCs w:val="20"/>
        </w:rPr>
        <w:fldChar w:fldCharType="end"/>
      </w:r>
      <w:r w:rsidRPr="00E30E10">
        <w:rPr>
          <w:color w:val="000000" w:themeColor="text1"/>
          <w:szCs w:val="20"/>
        </w:rPr>
        <w:t xml:space="preserve">. Untuk hipotesis kedua ditolak disimpulkan bahwa tidak ada pengaruh antara Ukuran perusahaan terdadap penerimaan Opini </w:t>
      </w:r>
      <w:r w:rsidRPr="00E30E10">
        <w:rPr>
          <w:i/>
          <w:iCs/>
          <w:color w:val="000000" w:themeColor="text1"/>
          <w:szCs w:val="20"/>
        </w:rPr>
        <w:t xml:space="preserve">Audit going </w:t>
      </w:r>
      <w:proofErr w:type="gramStart"/>
      <w:r w:rsidRPr="00E30E10">
        <w:rPr>
          <w:i/>
          <w:iCs/>
          <w:color w:val="000000" w:themeColor="text1"/>
          <w:szCs w:val="20"/>
        </w:rPr>
        <w:t xml:space="preserve">concern </w:t>
      </w:r>
      <w:r w:rsidRPr="00E30E10">
        <w:rPr>
          <w:color w:val="000000" w:themeColor="text1"/>
          <w:szCs w:val="20"/>
        </w:rPr>
        <w:t xml:space="preserve"> Studi</w:t>
      </w:r>
      <w:proofErr w:type="gramEnd"/>
      <w:r w:rsidRPr="00E30E10">
        <w:rPr>
          <w:color w:val="000000" w:themeColor="text1"/>
          <w:szCs w:val="20"/>
        </w:rPr>
        <w:t xml:space="preserve"> Empiris Pada Perusahaan Sub Sektor Perkebunan Yang Terdaftar di Bursa Efek. </w:t>
      </w:r>
    </w:p>
    <w:p w14:paraId="32299064" w14:textId="77777777" w:rsidR="00E30E10" w:rsidRPr="00E30E10" w:rsidRDefault="00E30E10" w:rsidP="00E30E10">
      <w:pPr>
        <w:spacing w:after="0" w:line="240" w:lineRule="auto"/>
        <w:jc w:val="both"/>
        <w:rPr>
          <w:b/>
          <w:bCs/>
          <w:i/>
          <w:iCs/>
          <w:color w:val="000000" w:themeColor="text1"/>
          <w:szCs w:val="20"/>
        </w:rPr>
      </w:pPr>
      <w:r w:rsidRPr="00E30E10">
        <w:rPr>
          <w:b/>
          <w:bCs/>
          <w:color w:val="000000" w:themeColor="text1"/>
          <w:szCs w:val="20"/>
        </w:rPr>
        <w:t xml:space="preserve">Pengaruh </w:t>
      </w:r>
      <w:r w:rsidRPr="00E30E10">
        <w:rPr>
          <w:b/>
          <w:bCs/>
          <w:i/>
          <w:iCs/>
          <w:color w:val="000000" w:themeColor="text1"/>
          <w:szCs w:val="20"/>
        </w:rPr>
        <w:t xml:space="preserve">Debt default </w:t>
      </w:r>
      <w:r w:rsidRPr="00E30E10">
        <w:rPr>
          <w:b/>
          <w:bCs/>
          <w:color w:val="000000" w:themeColor="text1"/>
          <w:szCs w:val="20"/>
        </w:rPr>
        <w:t xml:space="preserve">terhadap penerimaan Opini </w:t>
      </w:r>
      <w:r w:rsidRPr="00E30E10">
        <w:rPr>
          <w:b/>
          <w:bCs/>
          <w:i/>
          <w:iCs/>
          <w:color w:val="000000" w:themeColor="text1"/>
          <w:szCs w:val="20"/>
        </w:rPr>
        <w:t>Audit Going Concern</w:t>
      </w:r>
    </w:p>
    <w:p w14:paraId="0E471AF6" w14:textId="63854A6E" w:rsidR="00E30E10" w:rsidRDefault="00E30E10" w:rsidP="00E30E10">
      <w:pPr>
        <w:widowControl w:val="0"/>
        <w:autoSpaceDE w:val="0"/>
        <w:autoSpaceDN w:val="0"/>
        <w:adjustRightInd w:val="0"/>
        <w:spacing w:after="60" w:line="240" w:lineRule="auto"/>
        <w:jc w:val="both"/>
        <w:rPr>
          <w:color w:val="000000" w:themeColor="text1"/>
          <w:sz w:val="24"/>
          <w:szCs w:val="24"/>
        </w:rPr>
      </w:pPr>
      <w:r w:rsidRPr="00E30E10">
        <w:rPr>
          <w:color w:val="000000" w:themeColor="text1"/>
          <w:szCs w:val="20"/>
        </w:rPr>
        <w:t xml:space="preserve">Berdasarkan hasil pada tabel 4 diketahui bahwa t hitung sebesar -0.206 &lt; 1.99 dan nilai Prob 0.8354 &gt;0.05 maka dapat disimpulkan bahwa </w:t>
      </w:r>
      <w:r w:rsidRPr="00E30E10">
        <w:rPr>
          <w:i/>
          <w:iCs/>
          <w:color w:val="000000" w:themeColor="text1"/>
          <w:szCs w:val="20"/>
        </w:rPr>
        <w:t xml:space="preserve">Debt default </w:t>
      </w:r>
      <w:r w:rsidRPr="00E30E10">
        <w:rPr>
          <w:color w:val="000000" w:themeColor="text1"/>
          <w:szCs w:val="20"/>
        </w:rPr>
        <w:t xml:space="preserve">tidak berpengaruh terhadap penerimaan opini </w:t>
      </w:r>
      <w:r w:rsidRPr="00E30E10">
        <w:rPr>
          <w:i/>
          <w:iCs/>
          <w:color w:val="000000" w:themeColor="text1"/>
          <w:szCs w:val="20"/>
        </w:rPr>
        <w:t>Audit going Concern</w:t>
      </w:r>
      <w:r w:rsidRPr="00E30E10">
        <w:rPr>
          <w:color w:val="000000" w:themeColor="text1"/>
          <w:szCs w:val="20"/>
        </w:rPr>
        <w:t xml:space="preserve">. Penelitian ini mendukung penelitian yang dilakukan oleh </w:t>
      </w:r>
      <w:r w:rsidRPr="00E30E10">
        <w:rPr>
          <w:color w:val="000000" w:themeColor="text1"/>
          <w:szCs w:val="20"/>
        </w:rPr>
        <w:fldChar w:fldCharType="begin" w:fldLock="1"/>
      </w:r>
      <w:r w:rsidRPr="00E30E10">
        <w:rPr>
          <w:color w:val="000000" w:themeColor="text1"/>
          <w:szCs w:val="20"/>
        </w:rPr>
        <w:instrText>ADDIN CSL_CITATION {"citationItems":[{"id":"ITEM-1","itemData":{"abstract":"… audit, dan ukuran perusahaan tidak berpengaruh terhadap penerimaan opini audit going concern. Sedangkan debt default dan opini audit tahun sebelumnya berpengaruh terhadap …","author":[{"dropping-particle":"","family":"Sya'baini","given":"I N","non-dropping-particle":"","parse-names":false,"suffix":""}],"id":"ITEM-1","issued":{"date-parts":[["2016"]]},"publisher":"eprints.ums.ac.id","title":"Analisis Faktor-Faktor Yang Mempengaruhi Penerimaan Opini Audit Going Concern Pada Perusahaan Manufaktur Yang Terdaftar Di Bursa Efek IndonesiaTahun …","type":"book"},"uris":["http://www.mendeley.com/documents/?uuid=d2da0ca1-ca1c-4460-b5e1-8a7d7e39dedd"]},{"id":"ITEM-2","itemData":{"abstract":"… default tidak berpengaruh terhadap penerimaan opini audit going concern. Penelitian ini … pengaruh terhadap penerimaan opini audit going concern yang diketahui auditor melalui …","author":[{"dropping-particle":"","family":"Divira","given":"D","non-dropping-particle":"","parse-names":false,"suffix":""}],"id":"ITEM-2","issued":{"date-parts":[["2021"]]},"publisher":"repository.ibs.ac.id","title":"Pengaruh Disclosure, Financial Distress, Dan Debt Default Terhadap Opini Audit Going Concern","type":"book"},"uris":["http://www.mendeley.com/documents/?uuid=6dd6a685-ea67-412c-ae38-5d3522320fd3"]}],"mendeley":{"formattedCitation":"(Divira 2021; Sya’baini 2016)","plainTextFormattedCitation":"(Divira 2021; Sya’baini 2016)","previouslyFormattedCitation":"(Divira 2021; Sya’baini 2016)"},"properties":{"noteIndex":0},"schema":"https://github.com/citation-style-language/schema/raw/master/csl-citation.json"}</w:instrText>
      </w:r>
      <w:r w:rsidRPr="00E30E10">
        <w:rPr>
          <w:color w:val="000000" w:themeColor="text1"/>
          <w:szCs w:val="20"/>
        </w:rPr>
        <w:fldChar w:fldCharType="separate"/>
      </w:r>
      <w:r w:rsidRPr="00E30E10">
        <w:rPr>
          <w:noProof/>
          <w:color w:val="000000" w:themeColor="text1"/>
          <w:szCs w:val="20"/>
        </w:rPr>
        <w:t>(Divira 2021; Sya’baini 2016)</w:t>
      </w:r>
      <w:r w:rsidRPr="00E30E10">
        <w:rPr>
          <w:color w:val="000000" w:themeColor="text1"/>
          <w:szCs w:val="20"/>
        </w:rPr>
        <w:fldChar w:fldCharType="end"/>
      </w:r>
      <w:r w:rsidRPr="00E30E10">
        <w:rPr>
          <w:color w:val="000000" w:themeColor="text1"/>
          <w:szCs w:val="20"/>
        </w:rPr>
        <w:t xml:space="preserve">, penelitian ini bertolak belakang dengan penelitian yang dilakukan oleh </w:t>
      </w:r>
      <w:r w:rsidRPr="00E30E10">
        <w:rPr>
          <w:color w:val="000000" w:themeColor="text1"/>
          <w:szCs w:val="20"/>
        </w:rPr>
        <w:fldChar w:fldCharType="begin" w:fldLock="1"/>
      </w:r>
      <w:r w:rsidRPr="00E30E10">
        <w:rPr>
          <w:color w:val="000000" w:themeColor="text1"/>
          <w:szCs w:val="20"/>
        </w:rPr>
        <w:instrText>ADDIN CSL_CITATION {"citationItems":[{"id":"ITEM-1","itemData":{"abstract":"… penerimaan opini audit going concern, (4) Auditor … penerimaan opini audit going concern, (5) Opinion Shopping berpengaruh negatif terhadap penerimaan opini audit going concern, (6…","author":[{"dropping-particle":"","family":"Saputra","given":"E","non-dropping-particle":"","parse-names":false,"suffix":""},{"dropping-particle":"","family":"Kustina","given":"K T","non-dropping-particle":"","parse-names":false,"suffix":""}],"container-title":"KRISNA: Kumpulan Riset …","id":"ITEM-1","issued":{"date-parts":[["2018"]]},"note":"Cited By (since 2018): 38","publisher":"ejournal.warmadewa.ac.id","title":"… , debt default, kualitas auditor, auditor client tenure, opinion shopping dan disclosure, terhadap penerimaan opini audit going concern pada perusahaan manufaktur …","type":"article-journal"},"uris":["http://www.mendeley.com/documents/?uuid=49835c85-c79a-4164-9907-03968f14d77c"]},{"id":"ITEM-2","itemData":{"abstract":"… default tidak berpengaruh terhadap penerimaan opini audit going concern. Penelitian ini … pengaruh terhadap penerimaan opini audit going concern yang diketahui auditor melalui …","author":[{"dropping-particle":"","family":"Divira","given":"D","non-dropping-particle":"","parse-names":false,"suffix":""}],"id":"ITEM-2","issued":{"date-parts":[["2021"]]},"publisher":"repository.ibs.ac.id","title":"Pengaruh Disclosure, Financial Distress, Dan Debt Default Terhadap Opini Audit Going Concern","type":"book"},"uris":["http://www.mendeley.com/documents/?uuid=6dd6a685-ea67-412c-ae38-5d3522320fd3"]}],"mendeley":{"formattedCitation":"(Divira 2021; Saputra dan Kustina 2018)","plainTextFormattedCitation":"(Divira 2021; Saputra dan Kustina 2018)","previouslyFormattedCitation":"(Divira 2021; Saputra dan Kustina 2018)"},"properties":{"noteIndex":0},"schema":"https://github.com/citation-style-language/schema/raw/master/csl-citation.json"}</w:instrText>
      </w:r>
      <w:r w:rsidRPr="00E30E10">
        <w:rPr>
          <w:color w:val="000000" w:themeColor="text1"/>
          <w:szCs w:val="20"/>
        </w:rPr>
        <w:fldChar w:fldCharType="separate"/>
      </w:r>
      <w:r w:rsidRPr="00E30E10">
        <w:rPr>
          <w:noProof/>
          <w:color w:val="000000" w:themeColor="text1"/>
          <w:szCs w:val="20"/>
        </w:rPr>
        <w:t>(Divira 2021; Saputra dan Kustina 2018)</w:t>
      </w:r>
      <w:r w:rsidRPr="00E30E10">
        <w:rPr>
          <w:color w:val="000000" w:themeColor="text1"/>
          <w:szCs w:val="20"/>
        </w:rPr>
        <w:fldChar w:fldCharType="end"/>
      </w:r>
      <w:r w:rsidRPr="00E30E10">
        <w:rPr>
          <w:color w:val="000000" w:themeColor="text1"/>
          <w:szCs w:val="20"/>
        </w:rPr>
        <w:t xml:space="preserve">. Untuk hipotesis ketiga ditolak disimpukan bahwa tidak ada pengaruh antara </w:t>
      </w:r>
      <w:r w:rsidRPr="00E30E10">
        <w:rPr>
          <w:i/>
          <w:iCs/>
          <w:color w:val="000000" w:themeColor="text1"/>
          <w:szCs w:val="20"/>
        </w:rPr>
        <w:t xml:space="preserve">Debt Default </w:t>
      </w:r>
      <w:r w:rsidRPr="00E30E10">
        <w:rPr>
          <w:color w:val="000000" w:themeColor="text1"/>
          <w:szCs w:val="20"/>
        </w:rPr>
        <w:t xml:space="preserve">terdadap penerimaan Opini </w:t>
      </w:r>
      <w:r w:rsidRPr="00E30E10">
        <w:rPr>
          <w:i/>
          <w:iCs/>
          <w:color w:val="000000" w:themeColor="text1"/>
          <w:szCs w:val="20"/>
        </w:rPr>
        <w:t xml:space="preserve">Audit going </w:t>
      </w:r>
      <w:proofErr w:type="gramStart"/>
      <w:r w:rsidRPr="00E30E10">
        <w:rPr>
          <w:i/>
          <w:iCs/>
          <w:color w:val="000000" w:themeColor="text1"/>
          <w:szCs w:val="20"/>
        </w:rPr>
        <w:t xml:space="preserve">concern </w:t>
      </w:r>
      <w:r w:rsidRPr="00E30E10">
        <w:rPr>
          <w:color w:val="000000" w:themeColor="text1"/>
          <w:szCs w:val="20"/>
        </w:rPr>
        <w:t xml:space="preserve"> Studi</w:t>
      </w:r>
      <w:proofErr w:type="gramEnd"/>
      <w:r w:rsidRPr="00E30E10">
        <w:rPr>
          <w:color w:val="000000" w:themeColor="text1"/>
          <w:szCs w:val="20"/>
        </w:rPr>
        <w:t xml:space="preserve"> Empiris Pada Perusahaan Sub Sektor Perkebunan Yang Terdaftar di Bursa Efek</w:t>
      </w:r>
      <w:r>
        <w:rPr>
          <w:color w:val="000000" w:themeColor="text1"/>
          <w:sz w:val="24"/>
          <w:szCs w:val="24"/>
        </w:rPr>
        <w:t>.</w:t>
      </w:r>
    </w:p>
    <w:p w14:paraId="114A3EAE" w14:textId="77777777" w:rsidR="00E30E10" w:rsidRPr="00595285" w:rsidRDefault="00E30E10" w:rsidP="00E30E10">
      <w:pPr>
        <w:spacing w:after="0" w:line="240" w:lineRule="auto"/>
        <w:jc w:val="both"/>
        <w:rPr>
          <w:b/>
          <w:bCs/>
          <w:i/>
          <w:iCs/>
          <w:color w:val="000000" w:themeColor="text1"/>
          <w:szCs w:val="20"/>
        </w:rPr>
      </w:pPr>
      <w:r w:rsidRPr="00595285">
        <w:rPr>
          <w:b/>
          <w:bCs/>
          <w:color w:val="000000" w:themeColor="text1"/>
          <w:szCs w:val="20"/>
        </w:rPr>
        <w:lastRenderedPageBreak/>
        <w:t xml:space="preserve">Pengaruh Kondisi keuangan terhadap </w:t>
      </w:r>
      <w:bookmarkStart w:id="5" w:name="_Hlk122081730"/>
      <w:r w:rsidRPr="00595285">
        <w:rPr>
          <w:b/>
          <w:bCs/>
          <w:color w:val="000000" w:themeColor="text1"/>
          <w:szCs w:val="20"/>
        </w:rPr>
        <w:t xml:space="preserve">penerimaan Opini </w:t>
      </w:r>
      <w:r w:rsidRPr="00595285">
        <w:rPr>
          <w:b/>
          <w:bCs/>
          <w:i/>
          <w:iCs/>
          <w:color w:val="000000" w:themeColor="text1"/>
          <w:szCs w:val="20"/>
        </w:rPr>
        <w:t>Audit Going Concern</w:t>
      </w:r>
      <w:bookmarkEnd w:id="5"/>
    </w:p>
    <w:p w14:paraId="6853645D" w14:textId="77777777" w:rsidR="00E30E10" w:rsidRPr="00595285" w:rsidRDefault="00E30E10" w:rsidP="00E30E10">
      <w:pPr>
        <w:spacing w:after="0" w:line="240" w:lineRule="auto"/>
        <w:jc w:val="both"/>
        <w:rPr>
          <w:color w:val="000000" w:themeColor="text1"/>
          <w:szCs w:val="20"/>
        </w:rPr>
      </w:pPr>
      <w:r w:rsidRPr="00595285">
        <w:rPr>
          <w:color w:val="000000" w:themeColor="text1"/>
          <w:szCs w:val="20"/>
        </w:rPr>
        <w:t>Berdasarkan hasil pada tabel 4 diketahui bahwa t hitung sebesar 0.3202 &gt; 1.99 dan nilai Prob 0.0014 &lt; 0.05 maka dapat disimpulkan bahwa Kondisi keuangan</w:t>
      </w:r>
      <w:r w:rsidRPr="00595285">
        <w:rPr>
          <w:i/>
          <w:iCs/>
          <w:color w:val="000000" w:themeColor="text1"/>
          <w:szCs w:val="20"/>
        </w:rPr>
        <w:t xml:space="preserve"> </w:t>
      </w:r>
      <w:r w:rsidRPr="00595285">
        <w:rPr>
          <w:color w:val="000000" w:themeColor="text1"/>
          <w:szCs w:val="20"/>
        </w:rPr>
        <w:t xml:space="preserve">berpengaruh positif terhadap penerimaan opini </w:t>
      </w:r>
      <w:r w:rsidRPr="00595285">
        <w:rPr>
          <w:i/>
          <w:iCs/>
          <w:color w:val="000000" w:themeColor="text1"/>
          <w:szCs w:val="20"/>
        </w:rPr>
        <w:t>Audit going Concern</w:t>
      </w:r>
      <w:r w:rsidRPr="00595285">
        <w:rPr>
          <w:color w:val="000000" w:themeColor="text1"/>
          <w:szCs w:val="20"/>
        </w:rPr>
        <w:t xml:space="preserve"> artinya semakin baik Kondisi </w:t>
      </w:r>
      <w:proofErr w:type="gramStart"/>
      <w:r w:rsidRPr="00595285">
        <w:rPr>
          <w:color w:val="000000" w:themeColor="text1"/>
          <w:szCs w:val="20"/>
        </w:rPr>
        <w:t>keuangan  perusahaan</w:t>
      </w:r>
      <w:proofErr w:type="gramEnd"/>
      <w:r w:rsidRPr="00595285">
        <w:rPr>
          <w:color w:val="000000" w:themeColor="text1"/>
          <w:szCs w:val="20"/>
        </w:rPr>
        <w:t xml:space="preserve"> maka akan semain baik pula </w:t>
      </w:r>
      <w:r w:rsidRPr="00595285">
        <w:rPr>
          <w:i/>
          <w:iCs/>
          <w:color w:val="000000" w:themeColor="text1"/>
          <w:szCs w:val="20"/>
        </w:rPr>
        <w:t xml:space="preserve">Going Concern perusahaan </w:t>
      </w:r>
      <w:r w:rsidRPr="00595285">
        <w:rPr>
          <w:color w:val="000000" w:themeColor="text1"/>
          <w:szCs w:val="20"/>
        </w:rPr>
        <w:t xml:space="preserve">sub sektor perkebunan yang menjadi objek penelitian ini. Penelitian ini mendukung penelitian yang dilakukan oleh </w:t>
      </w:r>
      <w:r w:rsidRPr="00595285">
        <w:rPr>
          <w:color w:val="000000" w:themeColor="text1"/>
          <w:szCs w:val="20"/>
        </w:rPr>
        <w:fldChar w:fldCharType="begin" w:fldLock="1"/>
      </w:r>
      <w:r w:rsidRPr="00595285">
        <w:rPr>
          <w:color w:val="000000" w:themeColor="text1"/>
          <w:szCs w:val="20"/>
        </w:rPr>
        <w:instrText>ADDIN CSL_CITATION {"citationItems":[{"id":"ITEM-1","itemData":{"abstract":"… dan auditor client tenure tidak berpengaruh terhadap penerimaan opini audit going concern, Sedangkan variabel kondisi keuangan, ukuran perusahaan dan opini audit tahun …","author":[{"dropping-particle":"","family":"Batin","given":"A F S","non-dropping-particle":"","parse-names":false,"suffix":""}],"id":"ITEM-1","issued":{"date-parts":[["2020"]]},"publisher":"repository.umsu.ac.id","title":"Analisis Faktor-Faktor Yang Mempengaruhi Penerimaan Opini Audit Going Concern Pada Perusahaan Manufaktur Yang Terdaftar Di Bursa Efek Indonesia","type":"book"},"uris":["http://www.mendeley.com/documents/?uuid=01bf1b71-10e1-4e34-a907-df7e6c9ba963"]},{"id":"ITEM-2","itemData":{"abstract":"… Apakah kondisi keuangan berpengaruh terhadap penerimaan opini audit going concern pada … Apakah solvabilitas berpengaruh terhadap penerimaan opini audit going concern pada …","author":[{"dropping-particle":"","family":"Jalil","given":"M","non-dropping-particle":"","parse-names":false,"suffix":""}],"container-title":"Jurnal Akuntansi dan Keuangan","id":"ITEM-2","issued":{"date-parts":[["2019"]]},"note":"Cited By (since 2019): 14","publisher":"ejournal.unisi.ac.id","title":"Pengaruh Kondisi Keuangan dan Solvabilitas terhadap Opini Audit Going Concern (Studi Kasus pada perusahaan Manufaktur yang terdaftar di BEI)","type":"article-journal"},"uris":["http://www.mendeley.com/documents/?uuid=debad28e-2a0b-44bd-b70f-b52ce2fadcf7"]}],"mendeley":{"formattedCitation":"(Batin 2020; Jalil 2019)","plainTextFormattedCitation":"(Batin 2020; Jalil 2019)","previouslyFormattedCitation":"(Batin 2020; Jalil 2019)"},"properties":{"noteIndex":0},"schema":"https://github.com/citation-style-language/schema/raw/master/csl-citation.json"}</w:instrText>
      </w:r>
      <w:r w:rsidRPr="00595285">
        <w:rPr>
          <w:color w:val="000000" w:themeColor="text1"/>
          <w:szCs w:val="20"/>
        </w:rPr>
        <w:fldChar w:fldCharType="separate"/>
      </w:r>
      <w:r w:rsidRPr="00595285">
        <w:rPr>
          <w:noProof/>
          <w:color w:val="000000" w:themeColor="text1"/>
          <w:szCs w:val="20"/>
        </w:rPr>
        <w:t>(Batin 2020; Jalil 2019)</w:t>
      </w:r>
      <w:r w:rsidRPr="00595285">
        <w:rPr>
          <w:color w:val="000000" w:themeColor="text1"/>
          <w:szCs w:val="20"/>
        </w:rPr>
        <w:fldChar w:fldCharType="end"/>
      </w:r>
      <w:r w:rsidRPr="00595285">
        <w:rPr>
          <w:color w:val="000000" w:themeColor="text1"/>
          <w:szCs w:val="20"/>
        </w:rPr>
        <w:t xml:space="preserve"> yang memiliki hasil yang sama dengan penelitian ini, dilain sisi penelitian ini tidak sejalan dengan penelitian yang dilakukan oleh </w:t>
      </w:r>
      <w:r w:rsidRPr="00595285">
        <w:rPr>
          <w:color w:val="000000" w:themeColor="text1"/>
          <w:szCs w:val="20"/>
        </w:rPr>
        <w:fldChar w:fldCharType="begin" w:fldLock="1"/>
      </w:r>
      <w:r w:rsidRPr="00595285">
        <w:rPr>
          <w:color w:val="000000" w:themeColor="text1"/>
          <w:szCs w:val="20"/>
        </w:rPr>
        <w:instrText>ADDIN CSL_CITATION {"citationItems":[{"id":"ITEM-1","itemData":{"abstract":"… keuangan berpengaruh negatif terhadap penerimaan opini audit going concern. 6. Koefisien … bahwa disclosure tidak berpengaruh terhadap penerimaan opini audit going concern. …","author":[{"dropping-particle":"","family":"Rachma","given":"A W A","non-dropping-particle":"","parse-names":false,"suffix":""},{"dropping-particle":"","family":"Nurbaiti","given":"A","non-dropping-particle":"","parse-names":false,"suffix":""}],"container-title":"eProceedings …","id":"ITEM-1","issued":{"date-parts":[["2021"]]},"note":"Cited By (since 2021): 1","publisher":"… .telkomuniversity.ac.id","title":"Pengaruh Mekanisme Corporate Governance, Kondisi Keuangan Perusahaan, Dan Disclosure Terhadap Opini Audit Going Concern (studi Empiris Pada Perusahaan …","type":"article-journal"},"uris":["http://www.mendeley.com/documents/?uuid=2aaf09cd-916d-4b85-8212-60094a438af4"]},{"id":"ITEM-2","itemData":{"abstract":"… , dan berpengaruh terhadap penerimaan opini audit going concern. Sedangkan kondisi keuangan tidak berpengaruh terhadap penerimaan opini audit going concern. Berbeda dengan …","author":[{"dropping-particle":"","family":"Akrimi","given":"M S","non-dropping-particle":"","parse-names":false,"suffix":""}],"id":"ITEM-2","issued":{"date-parts":[["2019"]]},"note":"Cited By (since 2019): 1","publisher":"repository.uin-suska.ac.id","title":"… , Pertumbuhan Perusahaan, Kondisi Keuangan Perusahaan, Dan Opini Audit Tahun Sebelumnya Terhadap Opini Audit Going Concern (Studi Empiris Pada …","type":"book"},"uris":["http://www.mendeley.com/documents/?uuid=7e4a3efb-5d36-4144-b575-15a2849a955e"]}],"mendeley":{"formattedCitation":"(Akrimi 2019; Rachma dan Nurbaiti 2021)","plainTextFormattedCitation":"(Akrimi 2019; Rachma dan Nurbaiti 2021)","previouslyFormattedCitation":"(Akrimi 2019; Rachma dan Nurbaiti 2021)"},"properties":{"noteIndex":0},"schema":"https://github.com/citation-style-language/schema/raw/master/csl-citation.json"}</w:instrText>
      </w:r>
      <w:r w:rsidRPr="00595285">
        <w:rPr>
          <w:color w:val="000000" w:themeColor="text1"/>
          <w:szCs w:val="20"/>
        </w:rPr>
        <w:fldChar w:fldCharType="separate"/>
      </w:r>
      <w:r w:rsidRPr="00595285">
        <w:rPr>
          <w:noProof/>
          <w:color w:val="000000" w:themeColor="text1"/>
          <w:szCs w:val="20"/>
        </w:rPr>
        <w:t>(Akrimi 2019; Rachma dan Nurbaiti 2021)</w:t>
      </w:r>
      <w:r w:rsidRPr="00595285">
        <w:rPr>
          <w:color w:val="000000" w:themeColor="text1"/>
          <w:szCs w:val="20"/>
        </w:rPr>
        <w:fldChar w:fldCharType="end"/>
      </w:r>
      <w:r w:rsidRPr="00595285">
        <w:rPr>
          <w:color w:val="000000" w:themeColor="text1"/>
          <w:szCs w:val="20"/>
        </w:rPr>
        <w:t xml:space="preserve">. Hipotesis Keempat diterima disimpulkan bahwa terdapat pengaruh positif antara kondisi keuangan berpengaruh positif dan signifikan terhadap penerimaan Opini Audit </w:t>
      </w:r>
      <w:r w:rsidRPr="00595285">
        <w:rPr>
          <w:i/>
          <w:iCs/>
          <w:color w:val="000000" w:themeColor="text1"/>
          <w:szCs w:val="20"/>
        </w:rPr>
        <w:t>Going Concern</w:t>
      </w:r>
    </w:p>
    <w:p w14:paraId="623E24BE" w14:textId="77777777" w:rsidR="00E30E10" w:rsidRPr="00595285" w:rsidRDefault="00E30E10" w:rsidP="00E30E10">
      <w:pPr>
        <w:spacing w:after="0" w:line="240" w:lineRule="auto"/>
        <w:jc w:val="both"/>
        <w:rPr>
          <w:b/>
          <w:bCs/>
          <w:i/>
          <w:iCs/>
          <w:color w:val="000000" w:themeColor="text1"/>
          <w:szCs w:val="20"/>
        </w:rPr>
      </w:pPr>
      <w:r w:rsidRPr="00595285">
        <w:rPr>
          <w:b/>
          <w:bCs/>
          <w:color w:val="000000" w:themeColor="text1"/>
          <w:szCs w:val="20"/>
        </w:rPr>
        <w:t>Pengaruh Pertumbuhan perusahaan</w:t>
      </w:r>
      <w:r w:rsidRPr="00595285">
        <w:rPr>
          <w:b/>
          <w:bCs/>
          <w:i/>
          <w:iCs/>
          <w:color w:val="000000" w:themeColor="text1"/>
          <w:szCs w:val="20"/>
        </w:rPr>
        <w:t xml:space="preserve"> </w:t>
      </w:r>
      <w:r w:rsidRPr="00595285">
        <w:rPr>
          <w:b/>
          <w:bCs/>
          <w:color w:val="000000" w:themeColor="text1"/>
          <w:szCs w:val="20"/>
        </w:rPr>
        <w:t xml:space="preserve">terhadap penerimaan Opini </w:t>
      </w:r>
      <w:r w:rsidRPr="00595285">
        <w:rPr>
          <w:b/>
          <w:bCs/>
          <w:i/>
          <w:iCs/>
          <w:color w:val="000000" w:themeColor="text1"/>
          <w:szCs w:val="20"/>
        </w:rPr>
        <w:t>Audit Going Concern</w:t>
      </w:r>
    </w:p>
    <w:p w14:paraId="05146884" w14:textId="77777777" w:rsidR="00E30E10" w:rsidRPr="00595285" w:rsidRDefault="00E30E10" w:rsidP="00E30E10">
      <w:pPr>
        <w:spacing w:after="0" w:line="240" w:lineRule="auto"/>
        <w:jc w:val="both"/>
        <w:rPr>
          <w:color w:val="000000" w:themeColor="text1"/>
          <w:szCs w:val="20"/>
        </w:rPr>
      </w:pPr>
      <w:r w:rsidRPr="00595285">
        <w:rPr>
          <w:color w:val="000000" w:themeColor="text1"/>
          <w:szCs w:val="20"/>
        </w:rPr>
        <w:t xml:space="preserve">Berdasarkan hasil pada tabel 4 diketahui bahwa t hitung sebesar -2.627 </w:t>
      </w:r>
      <w:proofErr w:type="gramStart"/>
      <w:r w:rsidRPr="00595285">
        <w:rPr>
          <w:color w:val="000000" w:themeColor="text1"/>
          <w:szCs w:val="20"/>
        </w:rPr>
        <w:t>&gt;(</w:t>
      </w:r>
      <w:proofErr w:type="gramEnd"/>
      <w:r w:rsidRPr="00595285">
        <w:rPr>
          <w:color w:val="000000" w:themeColor="text1"/>
          <w:szCs w:val="20"/>
        </w:rPr>
        <w:t>-1.99) dan nilai Prob 0.0086 &lt;0.05 maka dapat disimpulkan bahwa Kondisi keuangan</w:t>
      </w:r>
      <w:r w:rsidRPr="00595285">
        <w:rPr>
          <w:i/>
          <w:iCs/>
          <w:color w:val="000000" w:themeColor="text1"/>
          <w:szCs w:val="20"/>
        </w:rPr>
        <w:t xml:space="preserve"> </w:t>
      </w:r>
      <w:r w:rsidRPr="00595285">
        <w:rPr>
          <w:color w:val="000000" w:themeColor="text1"/>
          <w:szCs w:val="20"/>
        </w:rPr>
        <w:t xml:space="preserve">berpengaruh negatif terhadap penerimaan opini </w:t>
      </w:r>
      <w:r w:rsidRPr="00595285">
        <w:rPr>
          <w:i/>
          <w:iCs/>
          <w:color w:val="000000" w:themeColor="text1"/>
          <w:szCs w:val="20"/>
        </w:rPr>
        <w:t>Audit going Concern</w:t>
      </w:r>
      <w:r w:rsidRPr="00595285">
        <w:rPr>
          <w:color w:val="000000" w:themeColor="text1"/>
          <w:szCs w:val="20"/>
        </w:rPr>
        <w:t xml:space="preserve"> artinya semakin kecil pertumbuhan perusahaan maka akan semain tinggi penerimaan Opini </w:t>
      </w:r>
      <w:r w:rsidRPr="00595285">
        <w:rPr>
          <w:i/>
          <w:iCs/>
          <w:color w:val="000000" w:themeColor="text1"/>
          <w:szCs w:val="20"/>
        </w:rPr>
        <w:t xml:space="preserve">Going Concern perusahaan </w:t>
      </w:r>
      <w:r w:rsidRPr="00595285">
        <w:rPr>
          <w:color w:val="000000" w:themeColor="text1"/>
          <w:szCs w:val="20"/>
        </w:rPr>
        <w:t xml:space="preserve">sub sektor perkebunan yang menjadi objek penelitian ini begitu pula sebaliknya. Penelitian ini sejalan dengan penelitian </w:t>
      </w:r>
      <w:r w:rsidRPr="00595285">
        <w:rPr>
          <w:color w:val="000000" w:themeColor="text1"/>
          <w:szCs w:val="20"/>
        </w:rPr>
        <w:fldChar w:fldCharType="begin" w:fldLock="1"/>
      </w:r>
      <w:r w:rsidRPr="00595285">
        <w:rPr>
          <w:color w:val="000000" w:themeColor="text1"/>
          <w:szCs w:val="20"/>
        </w:rPr>
        <w:instrText>ADDIN CSL_CITATION {"citationItems":[{"id":"ITEM-1","itemData":{"abstract":"… Secara parsial opinion shopping berpengaruh signifikan dan negatif, … Penerimaan Opini Audit Going Concern. Kata kunci : Opinion Shopping, Pertumbuhan Perusahaan, Opini Audit …","author":[{"dropping-particle":"","family":"Hidayat","given":"N","non-dropping-particle":"","parse-names":false,"suffix":""},{"dropping-particle":"","family":"Maryani","given":"S E Neni","non-dropping-particle":"","parse-names":false,"suffix":""},{"dropping-particle":"","family":"CA","given":"A","non-dropping-particle":"","parse-names":false,"suffix":""}],"id":"ITEM-1","issued":{"date-parts":[["2019"]]},"publisher":"repository.unjani.ac.id","title":"PENGARUH OPINION SHOPPING DAN PERTUMBUHAN PERUSAHAAN TERHADAP PENERIMAAN OPINI AUDIT GOING CONCERN (Studi Kasus pada …","type":"book"},"uris":["http://www.mendeley.com/documents/?uuid=1e6b7ba1-7bfb-40de-85a9-f4053793d253"]},{"id":"ITEM-2","itemData":{"abstract":"… opinion shopping berpengaruh negatif signifikan terhadap penerimaan opini audit going concern, namun kualitas audit dan … signifikan terhadap penerimaan opini audit going concern. …","author":[{"dropping-particle":"","family":"Rani","given":"R","non-dropping-particle":"","parse-names":false,"suffix":""}],"id":"ITEM-2","issued":{"date-parts":[["2021"]]},"publisher":"repository.unp.ac.id","title":"Pengaruh Kualitas Audit, Pertumbuhan Perusahaan Dan Opinion Shopping terhadap Penerimaan Opini Audit Going Concern (Studi Empiris pada Perusahaan …","type":"book"},"uris":["http://www.mendeley.com/documents/?uuid=f237791a-8ab9-47d2-9fa0-c3ab07af1900"]}],"mendeley":{"formattedCitation":"(Hidayat, Maryani, dan CA 2019; Rani 2021)","plainTextFormattedCitation":"(Hidayat, Maryani, dan CA 2019; Rani 2021)","previouslyFormattedCitation":"(Hidayat, Maryani, dan CA 2019; Rani 2021)"},"properties":{"noteIndex":0},"schema":"https://github.com/citation-style-language/schema/raw/master/csl-citation.json"}</w:instrText>
      </w:r>
      <w:r w:rsidRPr="00595285">
        <w:rPr>
          <w:color w:val="000000" w:themeColor="text1"/>
          <w:szCs w:val="20"/>
        </w:rPr>
        <w:fldChar w:fldCharType="separate"/>
      </w:r>
      <w:r w:rsidRPr="00595285">
        <w:rPr>
          <w:noProof/>
          <w:color w:val="000000" w:themeColor="text1"/>
          <w:szCs w:val="20"/>
        </w:rPr>
        <w:t>(Hidayat, Maryani, dan CA 2019; Rani 2021)</w:t>
      </w:r>
      <w:r w:rsidRPr="00595285">
        <w:rPr>
          <w:color w:val="000000" w:themeColor="text1"/>
          <w:szCs w:val="20"/>
        </w:rPr>
        <w:fldChar w:fldCharType="end"/>
      </w:r>
      <w:r w:rsidRPr="00595285">
        <w:rPr>
          <w:color w:val="000000" w:themeColor="text1"/>
          <w:szCs w:val="20"/>
        </w:rPr>
        <w:t xml:space="preserve">, namun penelitian ini tidak sejalan dengan peneltiian yang dilakukan oleh </w:t>
      </w:r>
      <w:r w:rsidRPr="00595285">
        <w:rPr>
          <w:color w:val="000000" w:themeColor="text1"/>
          <w:szCs w:val="20"/>
        </w:rPr>
        <w:fldChar w:fldCharType="begin" w:fldLock="1"/>
      </w:r>
      <w:r w:rsidRPr="00595285">
        <w:rPr>
          <w:color w:val="000000" w:themeColor="text1"/>
          <w:szCs w:val="20"/>
        </w:rPr>
        <w:instrText>ADDIN CSL_CITATION {"citationItems":[{"id":"ITEM-1","itemData":{"abstract":"… tahun sebelumnya terhadap penerimaan opini audit going concern. … kualitas audit, dan opini audit tahun sebelumnya tidak berpengaruh terhadap penerimaan opini audit going concern …","author":[{"dropping-particle":"","family":"Prasetyo","given":"W R","non-dropping-particle":"","parse-names":false,"suffix":""}],"id":"ITEM-1","issued":{"date-parts":[["2022"]]},"publisher":"digilib.uns.ac.id","title":"Pengaruh Pertumbuhan Perusahaan, Likuiditas, Kualitas Audit, dan Opini Audit Tahun Sebelumnya Terhadap Penerimaan Opini Audit Going Concern","type":"book"},"uris":["http://www.mendeley.com/documents/?uuid=d2cad025-32a9-4ed5-8bdd-feab286760da"]},{"id":"ITEM-2","itemData":{"abstract":"… terhadap penerimaan opini audit going concern, sedangkan pertumbuhan perusahaan dan kualitas auditor tidak berpengaruh terhadap penerimaan opini audit going concern. …","author":[{"dropping-particle":"","family":"Fadillah","given":"N N","non-dropping-particle":"","parse-names":false,"suffix":""}],"id":"ITEM-2","issued":{"date-parts":[["2021"]]},"publisher":"eprints.perbanas.ac.id","title":"Faktor-Faktor Yang Mempengaruhi Opini Audit Going Concern Pada Perusahaan Pertambangan Yang Terdaftar Di BEI Periode 2017-2019.","type":"book"},"uris":["http://www.mendeley.com/documents/?uuid=3db48a0d-1884-40d8-81b5-c808cb051571"]}],"mendeley":{"formattedCitation":"(Fadillah 2021; Prasetyo 2022)","plainTextFormattedCitation":"(Fadillah 2021; Prasetyo 2022)","previouslyFormattedCitation":"(Fadillah 2021; Prasetyo 2022)"},"properties":{"noteIndex":0},"schema":"https://github.com/citation-style-language/schema/raw/master/csl-citation.json"}</w:instrText>
      </w:r>
      <w:r w:rsidRPr="00595285">
        <w:rPr>
          <w:color w:val="000000" w:themeColor="text1"/>
          <w:szCs w:val="20"/>
        </w:rPr>
        <w:fldChar w:fldCharType="separate"/>
      </w:r>
      <w:r w:rsidRPr="00595285">
        <w:rPr>
          <w:noProof/>
          <w:color w:val="000000" w:themeColor="text1"/>
          <w:szCs w:val="20"/>
        </w:rPr>
        <w:t>(Fadillah 2021; Prasetyo 2022)</w:t>
      </w:r>
      <w:r w:rsidRPr="00595285">
        <w:rPr>
          <w:color w:val="000000" w:themeColor="text1"/>
          <w:szCs w:val="20"/>
        </w:rPr>
        <w:fldChar w:fldCharType="end"/>
      </w:r>
      <w:r w:rsidRPr="00595285">
        <w:rPr>
          <w:color w:val="000000" w:themeColor="text1"/>
          <w:szCs w:val="20"/>
        </w:rPr>
        <w:t xml:space="preserve"> Hipotesis kelima dari penelitian ini diterima terdapat pengaruh negatif dan signifikan antara pertumbuhan perusahaan terhadap penerimaan Opini </w:t>
      </w:r>
      <w:r w:rsidRPr="00595285">
        <w:rPr>
          <w:i/>
          <w:iCs/>
          <w:color w:val="000000" w:themeColor="text1"/>
          <w:szCs w:val="20"/>
        </w:rPr>
        <w:t>Audit Going Concern</w:t>
      </w:r>
      <w:r w:rsidRPr="00595285">
        <w:rPr>
          <w:color w:val="000000" w:themeColor="text1"/>
          <w:szCs w:val="20"/>
        </w:rPr>
        <w:t>.</w:t>
      </w:r>
    </w:p>
    <w:p w14:paraId="7AFA3B1C" w14:textId="77777777" w:rsidR="00E30E10" w:rsidRPr="00595285" w:rsidRDefault="00E30E10" w:rsidP="00E30E10">
      <w:pPr>
        <w:spacing w:after="0" w:line="240" w:lineRule="auto"/>
        <w:jc w:val="both"/>
        <w:rPr>
          <w:b/>
          <w:bCs/>
          <w:i/>
          <w:iCs/>
          <w:color w:val="000000" w:themeColor="text1"/>
          <w:szCs w:val="20"/>
        </w:rPr>
      </w:pPr>
      <w:r w:rsidRPr="00595285">
        <w:rPr>
          <w:b/>
          <w:bCs/>
          <w:color w:val="000000" w:themeColor="text1"/>
          <w:szCs w:val="20"/>
        </w:rPr>
        <w:t xml:space="preserve">Pengaruh </w:t>
      </w:r>
      <w:r w:rsidRPr="00595285">
        <w:rPr>
          <w:b/>
          <w:bCs/>
          <w:i/>
          <w:iCs/>
          <w:color w:val="000000" w:themeColor="text1"/>
          <w:szCs w:val="20"/>
        </w:rPr>
        <w:t xml:space="preserve">Leverage </w:t>
      </w:r>
      <w:r w:rsidRPr="00595285">
        <w:rPr>
          <w:b/>
          <w:bCs/>
          <w:color w:val="000000" w:themeColor="text1"/>
          <w:szCs w:val="20"/>
        </w:rPr>
        <w:t xml:space="preserve">terhadap penerimaan Opini </w:t>
      </w:r>
      <w:r w:rsidRPr="00595285">
        <w:rPr>
          <w:b/>
          <w:bCs/>
          <w:i/>
          <w:iCs/>
          <w:color w:val="000000" w:themeColor="text1"/>
          <w:szCs w:val="20"/>
        </w:rPr>
        <w:t>Audit Going Concern</w:t>
      </w:r>
    </w:p>
    <w:p w14:paraId="6CBA92FC" w14:textId="77777777" w:rsidR="00E30E10" w:rsidRPr="00595285" w:rsidRDefault="00E30E10" w:rsidP="00E30E10">
      <w:pPr>
        <w:spacing w:after="0" w:line="240" w:lineRule="auto"/>
        <w:jc w:val="both"/>
        <w:rPr>
          <w:b/>
          <w:bCs/>
          <w:color w:val="000000" w:themeColor="text1"/>
          <w:szCs w:val="20"/>
        </w:rPr>
      </w:pPr>
      <w:r w:rsidRPr="00595285">
        <w:rPr>
          <w:color w:val="000000" w:themeColor="text1"/>
          <w:szCs w:val="20"/>
        </w:rPr>
        <w:t xml:space="preserve">Berdasarkan hasil pada tabel 4 diketahui bahwa t hitung sebesar 0.177 &lt; 1.99 dan nilai Prob 0.8597 &gt;0.05 maka dapat disimpulkan bahwa </w:t>
      </w:r>
      <w:r w:rsidRPr="00595285">
        <w:rPr>
          <w:i/>
          <w:iCs/>
          <w:color w:val="000000" w:themeColor="text1"/>
          <w:szCs w:val="20"/>
        </w:rPr>
        <w:t xml:space="preserve">leverage </w:t>
      </w:r>
      <w:r w:rsidRPr="00595285">
        <w:rPr>
          <w:color w:val="000000" w:themeColor="text1"/>
          <w:szCs w:val="20"/>
        </w:rPr>
        <w:t xml:space="preserve">tidak berpengaruh terhadap penerimaan opini </w:t>
      </w:r>
      <w:r w:rsidRPr="00595285">
        <w:rPr>
          <w:i/>
          <w:iCs/>
          <w:color w:val="000000" w:themeColor="text1"/>
          <w:szCs w:val="20"/>
        </w:rPr>
        <w:t>Audit going Concern</w:t>
      </w:r>
      <w:r w:rsidRPr="00595285">
        <w:rPr>
          <w:color w:val="000000" w:themeColor="text1"/>
          <w:szCs w:val="20"/>
        </w:rPr>
        <w:t xml:space="preserve">. Penelitian ini sejalan dengan penelitin yang dilakukan oleh </w:t>
      </w:r>
      <w:r w:rsidRPr="00595285">
        <w:rPr>
          <w:color w:val="000000" w:themeColor="text1"/>
          <w:szCs w:val="20"/>
        </w:rPr>
        <w:fldChar w:fldCharType="begin" w:fldLock="1"/>
      </w:r>
      <w:r w:rsidRPr="00595285">
        <w:rPr>
          <w:color w:val="000000" w:themeColor="text1"/>
          <w:szCs w:val="20"/>
        </w:rPr>
        <w:instrText>ADDIN CSL_CITATION {"citationItems":[{"id":"ITEM-1","itemData":{"abstract":"… terhadap penerimaan opini audit going concern. Sementara itu leverage dan ukuran perusahaan tidak berpengaruh terhadap penerimaan opini audit going concern. Sedangkan audit …","author":[{"dropping-particle":"","family":"Mahardika","given":"C A A","non-dropping-particle":"","parse-names":false,"suffix":""},{"dropping-particle":"","family":"Puspitasari","given":"V A","non-dropping-particle":"","parse-names":false,"suffix":""}],"container-title":"Jurnal Pasar …","id":"ITEM-1","issued":{"date-parts":[["2020"]]},"note":"Cited By (since 2020): 1","publisher":"download.garuda.kemdikbud.go.id","title":"Potensi Kebangkrutan dan Pertumbuhan Perusahaan: Pengaruhnya Terhadap Penerimaan Opini Audit Going Concern pada Perusahaan Manufaktur","type":"article"},"uris":["http://www.mendeley.com/documents/?uuid=8701c3e2-f1a4-4009-a28e-ddc5b572f76b"]},{"id":"ITEM-2","itemData":{"abstract":"… tidak mempengaruhi penerimaan opini audit going concern. … berpengaruh terhadap penerimaan opini audit going concern. … tidak berdampak pada opini audit going concern , begitu …","author":[{"dropping-particle":"","family":"Meliyana","given":"A T","non-dropping-particle":"","parse-names":false,"suffix":""},{"dropping-particle":"","family":"Kusumawati","given":"E","non-dropping-particle":"","parse-names":false,"suffix":""}],"container-title":"Prosiding Pendidikan …","id":"ITEM-2","issued":{"date-parts":[["2022"]]},"publisher":"prosiding.unipma.ac.id","title":"Pengaruh Perubahan Profitabilitas, Likuiditas, Aktivitas, Leverage Dan Ukuran Perusahaan Terhadap Opini Audit Going Concern","type":"article-journal"},"uris":["http://www.mendeley.com/documents/?uuid=b8575d06-8832-4d73-9efe-ea5ab644decd"]}],"mendeley":{"formattedCitation":"(Mahardika dan Puspitasari 2020; Meliyana dan Kusumawati 2022)","plainTextFormattedCitation":"(Mahardika dan Puspitasari 2020; Meliyana dan Kusumawati 2022)","previouslyFormattedCitation":"(Mahardika dan Puspitasari 2020; Meliyana dan Kusumawati 2022)"},"properties":{"noteIndex":0},"schema":"https://github.com/citation-style-language/schema/raw/master/csl-citation.json"}</w:instrText>
      </w:r>
      <w:r w:rsidRPr="00595285">
        <w:rPr>
          <w:color w:val="000000" w:themeColor="text1"/>
          <w:szCs w:val="20"/>
        </w:rPr>
        <w:fldChar w:fldCharType="separate"/>
      </w:r>
      <w:r w:rsidRPr="00595285">
        <w:rPr>
          <w:noProof/>
          <w:color w:val="000000" w:themeColor="text1"/>
          <w:szCs w:val="20"/>
        </w:rPr>
        <w:t>(Mahardika dan Puspitasari 2020; Meliyana dan Kusumawati 2022)</w:t>
      </w:r>
      <w:r w:rsidRPr="00595285">
        <w:rPr>
          <w:color w:val="000000" w:themeColor="text1"/>
          <w:szCs w:val="20"/>
        </w:rPr>
        <w:fldChar w:fldCharType="end"/>
      </w:r>
      <w:r w:rsidRPr="00595285">
        <w:rPr>
          <w:color w:val="000000" w:themeColor="text1"/>
          <w:szCs w:val="20"/>
        </w:rPr>
        <w:t xml:space="preserve">  hasil dari penelitian tersebut menjelaskan bahwa tidak ada pengaruh yang signifikan antara </w:t>
      </w:r>
      <w:r w:rsidRPr="00595285">
        <w:rPr>
          <w:i/>
          <w:iCs/>
          <w:color w:val="000000" w:themeColor="text1"/>
          <w:szCs w:val="20"/>
        </w:rPr>
        <w:t>Leverage</w:t>
      </w:r>
      <w:r w:rsidRPr="00595285">
        <w:rPr>
          <w:color w:val="000000" w:themeColor="text1"/>
          <w:szCs w:val="20"/>
        </w:rPr>
        <w:t xml:space="preserve"> terhadap penerimaan </w:t>
      </w:r>
      <w:r w:rsidRPr="00595285">
        <w:rPr>
          <w:i/>
          <w:iCs/>
          <w:color w:val="000000" w:themeColor="text1"/>
          <w:szCs w:val="20"/>
        </w:rPr>
        <w:t>Opini Audit Going Concern</w:t>
      </w:r>
      <w:r w:rsidRPr="00595285">
        <w:rPr>
          <w:color w:val="000000" w:themeColor="text1"/>
          <w:szCs w:val="20"/>
        </w:rPr>
        <w:t xml:space="preserve">. Penelitian ini bertolak belakang dengan penelitian yang dilakukan oleh </w:t>
      </w:r>
      <w:r w:rsidRPr="00595285">
        <w:rPr>
          <w:color w:val="000000" w:themeColor="text1"/>
          <w:szCs w:val="20"/>
        </w:rPr>
        <w:fldChar w:fldCharType="begin" w:fldLock="1"/>
      </w:r>
      <w:r w:rsidRPr="00595285">
        <w:rPr>
          <w:color w:val="000000" w:themeColor="text1"/>
          <w:szCs w:val="20"/>
        </w:rPr>
        <w:instrText>ADDIN CSL_CITATION {"citationItems":[{"id":"ITEM-1","itemData":{"abstract":"… Financial distress dapat mempengaruhi faktor-faktor yang berpengaruh terhadap penerimaan opini audit going concern diantaranya reputasi KAP, auditor switching, dan leverage. …","author":[{"dropping-particle":"","family":"Nagari","given":"Y C R","non-dropping-particle":"","parse-names":false,"suffix":""},{"dropping-particle":"","family":"Suhartini","given":"D","non-dropping-particle":"","parse-names":false,"suffix":""}],"container-title":"Owner: Riset dan Jurnal Akuntansi","id":"ITEM-1","issued":{"date-parts":[["2022"]]},"publisher":"polgan.ac.id","title":"Determinan opini audit Going Concern: Financial Distress sebagai variabel moderasi menggunakan Logistics Regression Analysis","type":"article-journal"},"uris":["http://www.mendeley.com/documents/?uuid=49536582-5918-4a34-908c-d9eab710f9c3"]},{"id":"ITEM-2","itemData":{"abstract":"… berpengaruh terhadap penerimaan opini audit going concern. … terhadap penerimaan opini audit going concern. Terakhir, … berpengaruh terhadap penerimaan opini audit going concern. …","author":[{"dropping-particle":"","family":"Mubtadi","given":"N A","non-dropping-particle":"","parse-names":false,"suffix":""}],"container-title":"JIFA (Journal of Islamic Finance and …","id":"ITEM-2","issued":{"date-parts":[["2020"]]},"publisher":"ejournal.iainsurakarta.ac.id","title":"Analisis Pengaruh Prediksi Kebangkrutan, Leverage, dan Pertumbuhan Perusahaan terhadap Opini Audit Going Concern","type":"article-journal"},"uris":["http://www.mendeley.com/documents/?uuid=186ba2d6-928d-47ba-beff-006375eeef36"]}],"mendeley":{"formattedCitation":"(Mubtadi 2020; Y C R Nagari dan Suhartini 2022)","plainTextFormattedCitation":"(Mubtadi 2020; Y C R Nagari dan Suhartini 2022)","previouslyFormattedCitation":"(Mubtadi 2020; Y C R Nagari dan Suhartini 2022)"},"properties":{"noteIndex":0},"schema":"https://github.com/citation-style-language/schema/raw/master/csl-citation.json"}</w:instrText>
      </w:r>
      <w:r w:rsidRPr="00595285">
        <w:rPr>
          <w:color w:val="000000" w:themeColor="text1"/>
          <w:szCs w:val="20"/>
        </w:rPr>
        <w:fldChar w:fldCharType="separate"/>
      </w:r>
      <w:r w:rsidRPr="00595285">
        <w:rPr>
          <w:noProof/>
          <w:color w:val="000000" w:themeColor="text1"/>
          <w:szCs w:val="20"/>
        </w:rPr>
        <w:t>(Mubtadi 2020; Y C R Nagari dan Suhartini 2022)</w:t>
      </w:r>
      <w:r w:rsidRPr="00595285">
        <w:rPr>
          <w:color w:val="000000" w:themeColor="text1"/>
          <w:szCs w:val="20"/>
        </w:rPr>
        <w:fldChar w:fldCharType="end"/>
      </w:r>
      <w:r w:rsidRPr="00595285">
        <w:rPr>
          <w:color w:val="000000" w:themeColor="text1"/>
          <w:szCs w:val="20"/>
        </w:rPr>
        <w:t>.</w:t>
      </w:r>
    </w:p>
    <w:p w14:paraId="0B853B8D" w14:textId="77777777" w:rsidR="00E30E10" w:rsidRPr="00D6763D" w:rsidRDefault="00E30E10" w:rsidP="00E30E10">
      <w:pPr>
        <w:widowControl w:val="0"/>
        <w:autoSpaceDE w:val="0"/>
        <w:autoSpaceDN w:val="0"/>
        <w:adjustRightInd w:val="0"/>
        <w:spacing w:after="60" w:line="240" w:lineRule="auto"/>
        <w:jc w:val="both"/>
        <w:rPr>
          <w:color w:val="000000"/>
          <w:w w:val="102"/>
          <w:szCs w:val="20"/>
        </w:rPr>
      </w:pPr>
    </w:p>
    <w:p w14:paraId="5AEACB51" w14:textId="0D6A39CF" w:rsidR="00D6763D" w:rsidRPr="00595285" w:rsidRDefault="00D6763D" w:rsidP="00D6763D">
      <w:pPr>
        <w:pStyle w:val="ListParagraph"/>
        <w:widowControl w:val="0"/>
        <w:numPr>
          <w:ilvl w:val="0"/>
          <w:numId w:val="31"/>
        </w:numPr>
        <w:autoSpaceDE w:val="0"/>
        <w:autoSpaceDN w:val="0"/>
        <w:adjustRightInd w:val="0"/>
        <w:spacing w:after="60" w:line="240" w:lineRule="auto"/>
        <w:jc w:val="both"/>
        <w:rPr>
          <w:b/>
          <w:bCs/>
          <w:color w:val="000000"/>
          <w:w w:val="102"/>
          <w:szCs w:val="20"/>
        </w:rPr>
      </w:pPr>
      <w:r w:rsidRPr="00D6763D">
        <w:rPr>
          <w:b/>
          <w:bCs/>
          <w:color w:val="000000"/>
          <w:w w:val="102"/>
          <w:szCs w:val="20"/>
          <w:lang w:val="en-US"/>
        </w:rPr>
        <w:t>Kesimpulan dan Saran</w:t>
      </w:r>
    </w:p>
    <w:p w14:paraId="3F388235" w14:textId="3C851D67" w:rsidR="00595285" w:rsidRPr="00595285" w:rsidRDefault="00595285" w:rsidP="00595285">
      <w:pPr>
        <w:widowControl w:val="0"/>
        <w:autoSpaceDE w:val="0"/>
        <w:autoSpaceDN w:val="0"/>
        <w:adjustRightInd w:val="0"/>
        <w:spacing w:after="60" w:line="240" w:lineRule="auto"/>
        <w:jc w:val="both"/>
        <w:rPr>
          <w:color w:val="000000"/>
          <w:w w:val="102"/>
          <w:szCs w:val="20"/>
        </w:rPr>
      </w:pPr>
      <w:r w:rsidRPr="00595285">
        <w:rPr>
          <w:color w:val="000000"/>
          <w:w w:val="102"/>
          <w:szCs w:val="20"/>
        </w:rPr>
        <w:t xml:space="preserve">Berdasarkan hasil analisis dan pembahasan yang telah diuraikan pada bab sebelumnya maka dapat diambil kesimpulan sebagai </w:t>
      </w:r>
      <w:proofErr w:type="gramStart"/>
      <w:r w:rsidRPr="00595285">
        <w:rPr>
          <w:color w:val="000000"/>
          <w:w w:val="102"/>
          <w:szCs w:val="20"/>
        </w:rPr>
        <w:t>berikut :</w:t>
      </w:r>
      <w:proofErr w:type="gramEnd"/>
    </w:p>
    <w:p w14:paraId="5716D834" w14:textId="59954D03" w:rsidR="00D6763D" w:rsidRDefault="00D6763D" w:rsidP="00D6763D">
      <w:pPr>
        <w:pStyle w:val="ListParagraph"/>
        <w:widowControl w:val="0"/>
        <w:numPr>
          <w:ilvl w:val="1"/>
          <w:numId w:val="35"/>
        </w:numPr>
        <w:autoSpaceDE w:val="0"/>
        <w:autoSpaceDN w:val="0"/>
        <w:adjustRightInd w:val="0"/>
        <w:spacing w:after="60" w:line="240" w:lineRule="auto"/>
        <w:ind w:left="284"/>
        <w:jc w:val="both"/>
        <w:rPr>
          <w:color w:val="000000"/>
          <w:w w:val="102"/>
          <w:szCs w:val="20"/>
        </w:rPr>
      </w:pPr>
      <w:r w:rsidRPr="00D6763D">
        <w:rPr>
          <w:color w:val="000000"/>
          <w:w w:val="102"/>
          <w:szCs w:val="20"/>
        </w:rPr>
        <w:t>Kesimpulan</w:t>
      </w:r>
    </w:p>
    <w:p w14:paraId="7FFEE8B1" w14:textId="77777777" w:rsidR="00595285" w:rsidRPr="00A024CD" w:rsidRDefault="00595285" w:rsidP="00595285">
      <w:pPr>
        <w:pStyle w:val="ListParagraph"/>
        <w:numPr>
          <w:ilvl w:val="0"/>
          <w:numId w:val="40"/>
        </w:numPr>
        <w:tabs>
          <w:tab w:val="left" w:pos="426"/>
        </w:tabs>
        <w:spacing w:after="0" w:line="240" w:lineRule="auto"/>
        <w:contextualSpacing/>
        <w:jc w:val="both"/>
        <w:rPr>
          <w:sz w:val="24"/>
          <w:szCs w:val="24"/>
        </w:rPr>
      </w:pPr>
      <w:r>
        <w:rPr>
          <w:sz w:val="24"/>
          <w:szCs w:val="24"/>
        </w:rPr>
        <w:t xml:space="preserve">Berdasarkan hasil analisis data dari hipotesis </w:t>
      </w:r>
      <w:r>
        <w:rPr>
          <w:sz w:val="24"/>
          <w:szCs w:val="24"/>
          <w:lang w:val="en-US"/>
        </w:rPr>
        <w:t xml:space="preserve">peratama </w:t>
      </w:r>
      <w:r w:rsidRPr="003C3C68">
        <w:rPr>
          <w:rFonts w:eastAsia="Palatino Linotype"/>
          <w:bCs/>
          <w:sz w:val="24"/>
          <w:szCs w:val="24"/>
        </w:rPr>
        <w:t xml:space="preserve">Ukuran Perusahaan, </w:t>
      </w:r>
      <w:r w:rsidRPr="00EA02D0">
        <w:rPr>
          <w:rFonts w:eastAsia="Palatino Linotype"/>
          <w:bCs/>
          <w:i/>
          <w:iCs/>
          <w:sz w:val="24"/>
          <w:szCs w:val="24"/>
        </w:rPr>
        <w:t>Debt Default</w:t>
      </w:r>
      <w:r w:rsidRPr="003C3C68">
        <w:rPr>
          <w:rFonts w:eastAsia="Palatino Linotype"/>
          <w:bCs/>
          <w:sz w:val="24"/>
          <w:szCs w:val="24"/>
        </w:rPr>
        <w:t>, Kondisi Keuangan, Pertumbuhan Perusahaan</w:t>
      </w:r>
      <w:r>
        <w:rPr>
          <w:rFonts w:eastAsia="Palatino Linotype"/>
          <w:bCs/>
          <w:sz w:val="24"/>
          <w:szCs w:val="24"/>
          <w:lang w:val="en-US"/>
        </w:rPr>
        <w:t xml:space="preserve"> dan </w:t>
      </w:r>
      <w:r w:rsidRPr="00AD6B07">
        <w:rPr>
          <w:rFonts w:eastAsia="Palatino Linotype"/>
          <w:bCs/>
          <w:i/>
          <w:iCs/>
          <w:sz w:val="24"/>
          <w:szCs w:val="24"/>
        </w:rPr>
        <w:t xml:space="preserve"> Leverage</w:t>
      </w:r>
      <w:r>
        <w:rPr>
          <w:rFonts w:eastAsia="Palatino Linotype"/>
          <w:bCs/>
          <w:sz w:val="24"/>
          <w:szCs w:val="24"/>
          <w:lang w:val="en-US"/>
        </w:rPr>
        <w:t xml:space="preserve"> berpengaruh secara simultan terhadap penerimaan Opini </w:t>
      </w:r>
      <w:r>
        <w:rPr>
          <w:rFonts w:eastAsia="Palatino Linotype"/>
          <w:bCs/>
          <w:i/>
          <w:iCs/>
          <w:sz w:val="24"/>
          <w:szCs w:val="24"/>
          <w:lang w:val="en-US"/>
        </w:rPr>
        <w:t>Audit Going Concern</w:t>
      </w:r>
    </w:p>
    <w:p w14:paraId="7131D3D2" w14:textId="77777777" w:rsidR="00595285" w:rsidRPr="00A024CD" w:rsidRDefault="00595285" w:rsidP="00595285">
      <w:pPr>
        <w:pStyle w:val="ListParagraph"/>
        <w:numPr>
          <w:ilvl w:val="0"/>
          <w:numId w:val="40"/>
        </w:numPr>
        <w:tabs>
          <w:tab w:val="left" w:pos="426"/>
        </w:tabs>
        <w:spacing w:after="0" w:line="240" w:lineRule="auto"/>
        <w:contextualSpacing/>
        <w:jc w:val="both"/>
        <w:rPr>
          <w:sz w:val="24"/>
          <w:szCs w:val="24"/>
        </w:rPr>
      </w:pPr>
      <w:r>
        <w:rPr>
          <w:sz w:val="24"/>
          <w:szCs w:val="24"/>
        </w:rPr>
        <w:t xml:space="preserve">Berdasarkan hasil analisis data dari hipotesis </w:t>
      </w:r>
      <w:r>
        <w:rPr>
          <w:sz w:val="24"/>
          <w:szCs w:val="24"/>
          <w:lang w:val="en-US"/>
        </w:rPr>
        <w:t xml:space="preserve">kedua </w:t>
      </w:r>
      <w:r w:rsidRPr="003C3C68">
        <w:rPr>
          <w:rFonts w:eastAsia="Palatino Linotype"/>
          <w:bCs/>
          <w:sz w:val="24"/>
          <w:szCs w:val="24"/>
        </w:rPr>
        <w:t>Ukuran Perusahaan</w:t>
      </w:r>
      <w:r w:rsidRPr="004B05F9">
        <w:rPr>
          <w:rFonts w:eastAsia="Palatino Linotype"/>
          <w:bCs/>
          <w:sz w:val="24"/>
          <w:szCs w:val="24"/>
          <w:lang w:val="en-US"/>
        </w:rPr>
        <w:t xml:space="preserve"> </w:t>
      </w:r>
      <w:r>
        <w:rPr>
          <w:rFonts w:eastAsia="Palatino Linotype"/>
          <w:bCs/>
          <w:sz w:val="24"/>
          <w:szCs w:val="24"/>
          <w:lang w:val="en-US"/>
        </w:rPr>
        <w:t xml:space="preserve">tidak berpengaruh secara signifikan terhadap penerimaan Opini </w:t>
      </w:r>
      <w:r>
        <w:rPr>
          <w:rFonts w:eastAsia="Palatino Linotype"/>
          <w:bCs/>
          <w:i/>
          <w:iCs/>
          <w:sz w:val="24"/>
          <w:szCs w:val="24"/>
          <w:lang w:val="en-US"/>
        </w:rPr>
        <w:t>Audit Going Concern</w:t>
      </w:r>
    </w:p>
    <w:p w14:paraId="1F981381" w14:textId="77777777" w:rsidR="00595285" w:rsidRPr="00A024CD" w:rsidRDefault="00595285" w:rsidP="00595285">
      <w:pPr>
        <w:pStyle w:val="ListParagraph"/>
        <w:numPr>
          <w:ilvl w:val="0"/>
          <w:numId w:val="40"/>
        </w:numPr>
        <w:tabs>
          <w:tab w:val="left" w:pos="426"/>
        </w:tabs>
        <w:spacing w:after="0" w:line="240" w:lineRule="auto"/>
        <w:contextualSpacing/>
        <w:jc w:val="both"/>
        <w:rPr>
          <w:sz w:val="24"/>
          <w:szCs w:val="24"/>
        </w:rPr>
      </w:pPr>
      <w:r>
        <w:rPr>
          <w:sz w:val="24"/>
          <w:szCs w:val="24"/>
        </w:rPr>
        <w:t xml:space="preserve">Berdasarkan hasil analisis data dari hipotesis </w:t>
      </w:r>
      <w:r>
        <w:rPr>
          <w:sz w:val="24"/>
          <w:szCs w:val="24"/>
          <w:lang w:val="en-US"/>
        </w:rPr>
        <w:t xml:space="preserve">ketiga </w:t>
      </w:r>
      <w:r>
        <w:rPr>
          <w:rFonts w:eastAsia="Palatino Linotype"/>
          <w:bCs/>
          <w:i/>
          <w:iCs/>
          <w:sz w:val="24"/>
          <w:szCs w:val="24"/>
          <w:lang w:val="en-US"/>
        </w:rPr>
        <w:t xml:space="preserve">Debt Default </w:t>
      </w:r>
      <w:r>
        <w:rPr>
          <w:rFonts w:eastAsia="Palatino Linotype"/>
          <w:bCs/>
          <w:sz w:val="24"/>
          <w:szCs w:val="24"/>
          <w:lang w:val="en-US"/>
        </w:rPr>
        <w:t xml:space="preserve">tidak berpengaruh secara signifikan terhadap penerimaan Opini </w:t>
      </w:r>
      <w:r>
        <w:rPr>
          <w:rFonts w:eastAsia="Palatino Linotype"/>
          <w:bCs/>
          <w:i/>
          <w:iCs/>
          <w:sz w:val="24"/>
          <w:szCs w:val="24"/>
          <w:lang w:val="en-US"/>
        </w:rPr>
        <w:t>Audit Going Concern</w:t>
      </w:r>
    </w:p>
    <w:p w14:paraId="28310B37" w14:textId="77777777" w:rsidR="00595285" w:rsidRPr="00A024CD" w:rsidRDefault="00595285" w:rsidP="00595285">
      <w:pPr>
        <w:pStyle w:val="ListParagraph"/>
        <w:numPr>
          <w:ilvl w:val="0"/>
          <w:numId w:val="40"/>
        </w:numPr>
        <w:tabs>
          <w:tab w:val="left" w:pos="426"/>
        </w:tabs>
        <w:spacing w:after="0" w:line="240" w:lineRule="auto"/>
        <w:contextualSpacing/>
        <w:jc w:val="both"/>
        <w:rPr>
          <w:sz w:val="24"/>
          <w:szCs w:val="24"/>
        </w:rPr>
      </w:pPr>
      <w:r>
        <w:rPr>
          <w:sz w:val="24"/>
          <w:szCs w:val="24"/>
        </w:rPr>
        <w:t xml:space="preserve">Berdasarkan hasil analisis data dari hipotesis </w:t>
      </w:r>
      <w:r>
        <w:rPr>
          <w:sz w:val="24"/>
          <w:szCs w:val="24"/>
          <w:lang w:val="en-US"/>
        </w:rPr>
        <w:t xml:space="preserve">keempat Kondisi keuangan </w:t>
      </w:r>
      <w:r>
        <w:rPr>
          <w:rFonts w:eastAsia="Palatino Linotype"/>
          <w:bCs/>
          <w:sz w:val="24"/>
          <w:szCs w:val="24"/>
          <w:lang w:val="en-US"/>
        </w:rPr>
        <w:t xml:space="preserve">berpengaruh secara poisitf dan signifikan terhadap penerimaan Opini </w:t>
      </w:r>
      <w:r>
        <w:rPr>
          <w:rFonts w:eastAsia="Palatino Linotype"/>
          <w:bCs/>
          <w:i/>
          <w:iCs/>
          <w:sz w:val="24"/>
          <w:szCs w:val="24"/>
          <w:lang w:val="en-US"/>
        </w:rPr>
        <w:t>Audit Going Concern</w:t>
      </w:r>
    </w:p>
    <w:p w14:paraId="7C87FE2A" w14:textId="77777777" w:rsidR="00595285" w:rsidRPr="007F4AAE" w:rsidRDefault="00595285" w:rsidP="00595285">
      <w:pPr>
        <w:pStyle w:val="ListParagraph"/>
        <w:numPr>
          <w:ilvl w:val="0"/>
          <w:numId w:val="40"/>
        </w:numPr>
        <w:tabs>
          <w:tab w:val="left" w:pos="426"/>
        </w:tabs>
        <w:spacing w:after="0" w:line="240" w:lineRule="auto"/>
        <w:contextualSpacing/>
        <w:jc w:val="both"/>
        <w:rPr>
          <w:sz w:val="24"/>
          <w:szCs w:val="24"/>
        </w:rPr>
      </w:pPr>
      <w:r>
        <w:rPr>
          <w:sz w:val="24"/>
          <w:szCs w:val="24"/>
        </w:rPr>
        <w:t xml:space="preserve">Berdasarkan hasil analisis data dari hipotesis </w:t>
      </w:r>
      <w:r>
        <w:rPr>
          <w:sz w:val="24"/>
          <w:szCs w:val="24"/>
          <w:lang w:val="en-US"/>
        </w:rPr>
        <w:t xml:space="preserve">kelima pertumbuhan </w:t>
      </w:r>
      <w:r>
        <w:rPr>
          <w:rFonts w:eastAsia="Palatino Linotype"/>
          <w:bCs/>
          <w:sz w:val="24"/>
          <w:szCs w:val="24"/>
          <w:lang w:val="en-US"/>
        </w:rPr>
        <w:t xml:space="preserve">berpengaruh negatif dan signifikan terhadap penerimaan Opini </w:t>
      </w:r>
      <w:r>
        <w:rPr>
          <w:rFonts w:eastAsia="Palatino Linotype"/>
          <w:bCs/>
          <w:i/>
          <w:iCs/>
          <w:sz w:val="24"/>
          <w:szCs w:val="24"/>
          <w:lang w:val="en-US"/>
        </w:rPr>
        <w:t>Audit Going Concern</w:t>
      </w:r>
    </w:p>
    <w:p w14:paraId="4FB85896" w14:textId="28032DE4" w:rsidR="00D6763D" w:rsidRPr="00595285" w:rsidRDefault="00595285" w:rsidP="00595285">
      <w:pPr>
        <w:pStyle w:val="ListParagraph"/>
        <w:numPr>
          <w:ilvl w:val="0"/>
          <w:numId w:val="40"/>
        </w:numPr>
        <w:tabs>
          <w:tab w:val="left" w:pos="426"/>
        </w:tabs>
        <w:spacing w:after="0" w:line="240" w:lineRule="auto"/>
        <w:contextualSpacing/>
        <w:jc w:val="both"/>
        <w:rPr>
          <w:sz w:val="24"/>
          <w:szCs w:val="24"/>
        </w:rPr>
      </w:pPr>
      <w:r>
        <w:rPr>
          <w:sz w:val="24"/>
          <w:szCs w:val="24"/>
        </w:rPr>
        <w:t xml:space="preserve">Berdasarkan hasil analisis data dari hipotesis </w:t>
      </w:r>
      <w:r>
        <w:rPr>
          <w:sz w:val="24"/>
          <w:szCs w:val="24"/>
          <w:lang w:val="en-US"/>
        </w:rPr>
        <w:t xml:space="preserve">keenam </w:t>
      </w:r>
      <w:r>
        <w:rPr>
          <w:i/>
          <w:iCs/>
          <w:sz w:val="24"/>
          <w:szCs w:val="24"/>
          <w:lang w:val="en-US"/>
        </w:rPr>
        <w:t xml:space="preserve">Leverage </w:t>
      </w:r>
      <w:r>
        <w:rPr>
          <w:sz w:val="24"/>
          <w:szCs w:val="24"/>
          <w:lang w:val="en-US"/>
        </w:rPr>
        <w:t xml:space="preserve">tidak </w:t>
      </w:r>
      <w:r>
        <w:rPr>
          <w:rFonts w:eastAsia="Palatino Linotype"/>
          <w:bCs/>
          <w:sz w:val="24"/>
          <w:szCs w:val="24"/>
          <w:lang w:val="en-US"/>
        </w:rPr>
        <w:t xml:space="preserve">berpengaruh secara signifikan terhadap penerimaan Opini </w:t>
      </w:r>
      <w:r>
        <w:rPr>
          <w:rFonts w:eastAsia="Palatino Linotype"/>
          <w:bCs/>
          <w:i/>
          <w:iCs/>
          <w:sz w:val="24"/>
          <w:szCs w:val="24"/>
          <w:lang w:val="en-US"/>
        </w:rPr>
        <w:t>Audit Going Concern</w:t>
      </w:r>
    </w:p>
    <w:p w14:paraId="1A0AC939" w14:textId="4E56234E" w:rsidR="00D6763D" w:rsidRPr="00D6763D" w:rsidRDefault="00D6763D" w:rsidP="00595285">
      <w:pPr>
        <w:pStyle w:val="ListParagraph"/>
        <w:widowControl w:val="0"/>
        <w:numPr>
          <w:ilvl w:val="1"/>
          <w:numId w:val="35"/>
        </w:numPr>
        <w:autoSpaceDE w:val="0"/>
        <w:autoSpaceDN w:val="0"/>
        <w:adjustRightInd w:val="0"/>
        <w:spacing w:after="0" w:line="240" w:lineRule="auto"/>
        <w:ind w:left="284"/>
        <w:jc w:val="both"/>
        <w:rPr>
          <w:color w:val="000000"/>
          <w:w w:val="102"/>
          <w:szCs w:val="20"/>
        </w:rPr>
      </w:pPr>
      <w:r>
        <w:rPr>
          <w:color w:val="000000"/>
          <w:w w:val="102"/>
          <w:szCs w:val="20"/>
          <w:lang w:val="en-US"/>
        </w:rPr>
        <w:t>Saran</w:t>
      </w:r>
    </w:p>
    <w:p w14:paraId="694DF942" w14:textId="0C1C0FA7" w:rsidR="00D6763D" w:rsidRDefault="00595285" w:rsidP="00595285">
      <w:pPr>
        <w:widowControl w:val="0"/>
        <w:autoSpaceDE w:val="0"/>
        <w:autoSpaceDN w:val="0"/>
        <w:adjustRightInd w:val="0"/>
        <w:spacing w:after="0" w:line="240" w:lineRule="auto"/>
        <w:ind w:left="284"/>
        <w:jc w:val="both"/>
        <w:rPr>
          <w:szCs w:val="20"/>
        </w:rPr>
      </w:pPr>
      <w:r w:rsidRPr="00595285">
        <w:rPr>
          <w:szCs w:val="20"/>
        </w:rPr>
        <w:t xml:space="preserve">Dari hasil yang diperoleh oleh penelitian ini, ditemukan beberapa saran yang mungkin berguna, diantaranya sebagai </w:t>
      </w:r>
      <w:proofErr w:type="gramStart"/>
      <w:r w:rsidRPr="00595285">
        <w:rPr>
          <w:szCs w:val="20"/>
        </w:rPr>
        <w:t>berikut :</w:t>
      </w:r>
      <w:proofErr w:type="gramEnd"/>
    </w:p>
    <w:p w14:paraId="7E73DD5A" w14:textId="77777777" w:rsidR="00595285" w:rsidRPr="00595285" w:rsidRDefault="00595285" w:rsidP="00595285">
      <w:pPr>
        <w:widowControl w:val="0"/>
        <w:autoSpaceDE w:val="0"/>
        <w:autoSpaceDN w:val="0"/>
        <w:adjustRightInd w:val="0"/>
        <w:spacing w:after="0" w:line="240" w:lineRule="auto"/>
        <w:ind w:left="567" w:hanging="283"/>
        <w:jc w:val="both"/>
        <w:rPr>
          <w:szCs w:val="20"/>
        </w:rPr>
      </w:pPr>
      <w:r w:rsidRPr="00595285">
        <w:rPr>
          <w:szCs w:val="20"/>
        </w:rPr>
        <w:t>1.</w:t>
      </w:r>
      <w:r w:rsidRPr="00595285">
        <w:rPr>
          <w:szCs w:val="20"/>
        </w:rPr>
        <w:tab/>
        <w:t>Berdasarkan hasil analisis data bagi peneliti selanjutnya agar meneliti penerimaan opini audit going concern dari sudut pandang lain agar hasil penelitian dapat memberikan hasil yang lebih konrit dan akurat</w:t>
      </w:r>
    </w:p>
    <w:p w14:paraId="2B9132B1" w14:textId="3DFFB0B2" w:rsidR="00595285" w:rsidRDefault="00595285" w:rsidP="00595285">
      <w:pPr>
        <w:widowControl w:val="0"/>
        <w:autoSpaceDE w:val="0"/>
        <w:autoSpaceDN w:val="0"/>
        <w:adjustRightInd w:val="0"/>
        <w:spacing w:after="0" w:line="240" w:lineRule="auto"/>
        <w:ind w:left="567" w:hanging="283"/>
        <w:jc w:val="both"/>
        <w:rPr>
          <w:szCs w:val="20"/>
        </w:rPr>
      </w:pPr>
      <w:r w:rsidRPr="00595285">
        <w:rPr>
          <w:szCs w:val="20"/>
        </w:rPr>
        <w:t>2.</w:t>
      </w:r>
      <w:r w:rsidRPr="00595285">
        <w:rPr>
          <w:szCs w:val="20"/>
        </w:rPr>
        <w:tab/>
        <w:t>Bagi peneliti selanjutnya agar memilih objek lain selain penelitian ini untuk mendapatkan kesimpulan baru untuk menguji teori pada objek yang lainnya.</w:t>
      </w:r>
    </w:p>
    <w:p w14:paraId="3FA1FF24" w14:textId="46487091" w:rsidR="00B57DE8" w:rsidRDefault="00B57DE8" w:rsidP="00B57DE8">
      <w:pPr>
        <w:widowControl w:val="0"/>
        <w:autoSpaceDE w:val="0"/>
        <w:autoSpaceDN w:val="0"/>
        <w:adjustRightInd w:val="0"/>
        <w:spacing w:after="60" w:line="240" w:lineRule="auto"/>
        <w:jc w:val="both"/>
        <w:rPr>
          <w:szCs w:val="20"/>
        </w:rPr>
      </w:pPr>
    </w:p>
    <w:p w14:paraId="641344D0" w14:textId="5243CD1B" w:rsidR="00B57DE8" w:rsidRDefault="00B57DE8" w:rsidP="00B57DE8">
      <w:pPr>
        <w:widowControl w:val="0"/>
        <w:autoSpaceDE w:val="0"/>
        <w:autoSpaceDN w:val="0"/>
        <w:adjustRightInd w:val="0"/>
        <w:spacing w:after="60" w:line="240" w:lineRule="auto"/>
        <w:jc w:val="both"/>
        <w:rPr>
          <w:szCs w:val="20"/>
        </w:rPr>
      </w:pPr>
    </w:p>
    <w:p w14:paraId="64461B1B" w14:textId="5BC1FDE1" w:rsidR="009B626C" w:rsidRDefault="00376751" w:rsidP="00B57DE8">
      <w:pPr>
        <w:widowControl w:val="0"/>
        <w:autoSpaceDE w:val="0"/>
        <w:autoSpaceDN w:val="0"/>
        <w:adjustRightInd w:val="0"/>
        <w:spacing w:after="60" w:line="240" w:lineRule="auto"/>
        <w:jc w:val="both"/>
        <w:rPr>
          <w:b/>
          <w:bCs/>
          <w:color w:val="000000"/>
          <w:w w:val="102"/>
          <w:szCs w:val="20"/>
        </w:rPr>
      </w:pPr>
      <w:r w:rsidRPr="00376751">
        <w:rPr>
          <w:b/>
          <w:bCs/>
          <w:color w:val="000000"/>
          <w:w w:val="102"/>
          <w:szCs w:val="20"/>
        </w:rPr>
        <w:t>DAFTAR PUSTAKA</w:t>
      </w:r>
    </w:p>
    <w:p w14:paraId="624BC3E6" w14:textId="0FA743BF" w:rsidR="009B626C" w:rsidRDefault="009B626C" w:rsidP="00B57DE8">
      <w:pPr>
        <w:widowControl w:val="0"/>
        <w:autoSpaceDE w:val="0"/>
        <w:autoSpaceDN w:val="0"/>
        <w:adjustRightInd w:val="0"/>
        <w:spacing w:after="60" w:line="240" w:lineRule="auto"/>
        <w:jc w:val="both"/>
        <w:rPr>
          <w:b/>
          <w:bCs/>
          <w:color w:val="000000"/>
          <w:w w:val="102"/>
          <w:szCs w:val="20"/>
        </w:rPr>
      </w:pPr>
    </w:p>
    <w:p w14:paraId="04173032"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Akrimi, M S. 2019. </w:t>
      </w:r>
      <w:proofErr w:type="gramStart"/>
      <w:r w:rsidRPr="00376751">
        <w:rPr>
          <w:color w:val="000000"/>
          <w:w w:val="102"/>
          <w:szCs w:val="20"/>
        </w:rPr>
        <w:t>… ,</w:t>
      </w:r>
      <w:proofErr w:type="gramEnd"/>
      <w:r w:rsidRPr="00376751">
        <w:rPr>
          <w:color w:val="000000"/>
          <w:w w:val="102"/>
          <w:szCs w:val="20"/>
        </w:rPr>
        <w:t xml:space="preserve"> Pertumbuhan Perusahaan, Kondisi Keuangan Perusahaan, Dan Opini Audit Tahun Sebelumnya Terhadap Opini Audit Going Concern (Studi Empiris Pada …. repository.uin-suska.ac.id. https://repository.uin-suska.ac.id/22615/.</w:t>
      </w:r>
    </w:p>
    <w:p w14:paraId="08A0A218"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Aprillia, D, E Atari, dan H Hermiyetti. 2022. “Faktor-faktor yang Memengaruhi Opini Audit Going Concern.” Media Riset Akuntansi. https://journal.bakrie.ac.id/index.php/journal_MR</w:t>
      </w:r>
      <w:r w:rsidRPr="00376751">
        <w:rPr>
          <w:color w:val="000000"/>
          <w:w w:val="102"/>
          <w:szCs w:val="20"/>
        </w:rPr>
        <w:lastRenderedPageBreak/>
        <w:t>A/article/view/2293.</w:t>
      </w:r>
    </w:p>
    <w:p w14:paraId="1577217A"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Asmarani, F D, S E Ida Suraida, MSAK CA, dan ... 2019. </w:t>
      </w:r>
      <w:proofErr w:type="gramStart"/>
      <w:r w:rsidRPr="00376751">
        <w:rPr>
          <w:color w:val="000000"/>
          <w:w w:val="102"/>
          <w:szCs w:val="20"/>
        </w:rPr>
        <w:t>… ,</w:t>
      </w:r>
      <w:proofErr w:type="gramEnd"/>
      <w:r w:rsidRPr="00376751">
        <w:rPr>
          <w:color w:val="000000"/>
          <w:w w:val="102"/>
          <w:szCs w:val="20"/>
        </w:rPr>
        <w:t xml:space="preserve"> UKURAN PERUSAHAAN DAN OPINI AUDIT TAHUN SEBELUMNYA TERHADAP PENERIMAAN OPINI AUDIT GOING CONCERN (Studi pada Perusahaan …. repository.unpas.ac.id. http://repository.unpas.ac.id/id/eprint/42810.</w:t>
      </w:r>
    </w:p>
    <w:p w14:paraId="164C05FC"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Astuti, S B, E Sudarmaji, dan ... 2022. “PREDIKSI OPINI AUDIT GOING CONCERN PADA PERUSAHAAN PERBANKAN YANG TERDAFTAR DI BURSA EFEK INDONESIA MENGUNAKAN ANALISA LOGIT.” JIAP: Jurnal Ilmiah …. https://journal.univpancasila.ac.id/index.php/JIAP/article/view/3111.</w:t>
      </w:r>
    </w:p>
    <w:p w14:paraId="7D8E6504"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Batin, A F S. 2020. Analisis Faktor-Faktor Yang Mempengaruhi Penerimaan Opini Audit Going Concern Pada Perusahaan Manufaktur Yang Terdaftar Di Bursa Efek Indonesia. repository.umsu.ac.id. http://repository.umsu.ac.id/handle/123456789/4687.</w:t>
      </w:r>
    </w:p>
    <w:p w14:paraId="5AC64DCD"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Clarensi, D. 2021. … Pertumbuhan Perusahaan, Kondisi Keuangan Perusahaan, Audit Tenure dan Opini Audit Tahun Sebelumnya terhadap Penerimaan Opini Audit Going Concern. eprints.perbanas.ac.id. http://eprints.perbanas.ac.id/8281/.</w:t>
      </w:r>
    </w:p>
    <w:p w14:paraId="04A39B5A"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Digdowiseiso, Kumba. 2017. 1 Universitas Pendidikan Indonesia Metode Penelitian Ekonomi dan Bisnis.</w:t>
      </w:r>
    </w:p>
    <w:p w14:paraId="138B7210"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Divira, D. 2021. Pengaruh Disclosure, Financial Distress, Dan Debt Default Terhadap Opini Audit Going Concern. repository.ibs.ac.id. http://repository.ibs.ac.id/4926/2/Abstrak.pdf.</w:t>
      </w:r>
    </w:p>
    <w:p w14:paraId="67A38349"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Dragomir, Voicu D., Mădălina Dumitru, dan Liliana Feleagă. 2021. “Political interventions in state-owned enterprises: The corporate governance failures of a European airline.” Journal of Accounting and Public Policy 40(5).</w:t>
      </w:r>
    </w:p>
    <w:p w14:paraId="06F07F8F"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Fadillah, N N. 2021. Faktor-Faktor Yang Mempengaruhi Opini Audit Going Concern Pada Perusahaan Pertambangan Yang Terdaftar Di BEI Periode 2017-2019. eprints.perbanas.ac.id. http://eprints.perbanas.ac.id/9518/.</w:t>
      </w:r>
    </w:p>
    <w:p w14:paraId="535A43F9"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Ginting, S, dan A Tarihoran. 2017. “Faktor-faktor yang mempengaruhi pernyataan going concern.” Jurnal wira ekonomi mikroskil. https://mikroskil.ac.id/ejurnal/index.php/jwem/article/view/439.</w:t>
      </w:r>
    </w:p>
    <w:p w14:paraId="48EE9C0C"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Halim, S P. 2019. … PROFITABILITAS, UKURAN PERUSAHAAN, OPINI AUDIT DAN LEVERAGE TERHADAP PENERIMAAN OPINI AUDIT GOING CONCERN (Pada perusahaan Food …. repositori.buddhidharma.ac.id. </w:t>
      </w:r>
      <w:r w:rsidRPr="00376751">
        <w:rPr>
          <w:color w:val="000000"/>
          <w:w w:val="102"/>
          <w:szCs w:val="20"/>
        </w:rPr>
        <w:t>http://repositori.buddhidharma.ac.id/1110/.</w:t>
      </w:r>
    </w:p>
    <w:p w14:paraId="04E5441E"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Hidayat, N, S E Neni Maryani, dan A CA. 2019. PENGARUH OPINION SHOPPING DAN PERTUMBUHAN PERUSAHAAN TERHADAP PENERIMAAN OPINI AUDIT GOING CONCERN (Studi Kasus pada …. repository.unjani.ac.id. http://repository.unjani.ac.id/index.php?p=show_detail&amp;id=1683&amp;keywords=.</w:t>
      </w:r>
    </w:p>
    <w:p w14:paraId="6A72D883"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Jalil, M. 2019. “Pengaruh Kondisi Keuangan dan Solvabilitas terhadap Opini Audit Going Concern (Studi Kasus pada perusahaan Manufaktur yang terdaftar di BEI).” Jurnal Akuntansi dan Keuangan. https://ejournal.unisi.ac.id/index.php/jak/article/view/711.</w:t>
      </w:r>
    </w:p>
    <w:p w14:paraId="52E8FA79"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Kristianasari, E P, dan K Ismawati. 2022. “Faktor Pengaruh Penerimaan Opini Audit Going Concern.” Jurnal Ekonomi dan Bisnis …. http://jurnal.unidha.ac.id/index.php/JEBD/article/view/260.</w:t>
      </w:r>
    </w:p>
    <w:p w14:paraId="4EDDC87A"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Liliani, P. 2021. “Pengaruh Financial Distress, Debt Default, Dan Audit Tenure Terhadap Penerimaan Opini Audit Going Concern Pada Perusahaan Manufaktur Yang Terdaftar Di ….” Jurnal Bina Akuntansi. https://wiyatamandala.e-journal.id/JBA/article/view/175.</w:t>
      </w:r>
    </w:p>
    <w:p w14:paraId="2D60C5F7"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Mahardika, C A A, dan V </w:t>
      </w:r>
      <w:proofErr w:type="gramStart"/>
      <w:r w:rsidRPr="00376751">
        <w:rPr>
          <w:color w:val="000000"/>
          <w:w w:val="102"/>
          <w:szCs w:val="20"/>
        </w:rPr>
        <w:t>A</w:t>
      </w:r>
      <w:proofErr w:type="gramEnd"/>
      <w:r w:rsidRPr="00376751">
        <w:rPr>
          <w:color w:val="000000"/>
          <w:w w:val="102"/>
          <w:szCs w:val="20"/>
        </w:rPr>
        <w:t xml:space="preserve"> Puspitasari. 2020. “Potensi Kebangkrutan dan Pertumbuhan Perusahaan: Pengaruhnya Terhadap Penerimaan Opini Audit Going Concern pada Perusahaan Manufaktur.” Jurnal Pasar …. http://download.garuda.kemdikbud.go.id/article.php?article=1685939&amp;val=18326&amp;title=Potensi Kebangkrutan dan Pertumbuhan Perusahaan Pengaruhnya Terhadap Penerimaan Opini Audit Going Concern pada Perusahaan Manufaktur.</w:t>
      </w:r>
    </w:p>
    <w:p w14:paraId="74975FCE"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Manisha, D Ayu. 2022. … DISTRESS DAN DEBT DEFAULT TERHADAP PENERIMAAN OPINI AUDIT DENGAN PENEKANAN GOING CONCERN PADA PERUSAHAAN MANUFAKTUR YANG …. repository.stei.ac.id. http://repository.stei.ac.id/id/eprint/8577.</w:t>
      </w:r>
    </w:p>
    <w:p w14:paraId="6E436230"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Megantara, D. 2021. “PENGARUH PERTUMBUHAN PERUSAHAAN, KONDISI KEUANGAN, UKURAN PERUSAHAAN, DAN LEVERAGE TERHADAP OPINI AUDIT GOING CONCERN.” JRAK (Jurnal Riset Akuntansi Dan Bisnis). https://jurnal.plb.ac.id/index.php/JRAK/article/view/645.</w:t>
      </w:r>
    </w:p>
    <w:p w14:paraId="2A1AAB1F"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Meliyana, A T, dan E Kusumawati. 2022. “Pengaruh Perubahan Profitabilitas, Likuiditas, Aktivitas, Leverage Dan Ukuran Perusahaan Terhadap Opini Audit Going Concern.” Prosiding Pendidikan …. http://prosiding.unipma.ac.id/index.php/PROSPEK/article/view/3130.</w:t>
      </w:r>
    </w:p>
    <w:p w14:paraId="5C239C73"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lastRenderedPageBreak/>
        <w:t>MILA, N U R. 2022. PENGARUH PERTUMBUHAN PERUSAHAAN, LIKUIDITAS DAN KUALITAS AUDIT TERHADAP PENERIMAAN OPINI AUDIT GOING CONCERN (Studi Kasus pada …. repository.stei.ac.id. http://repository.stei.ac.id/id/eprint/8543.</w:t>
      </w:r>
    </w:p>
    <w:p w14:paraId="5D35DFF6"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Mubtadi, N A. 2020. “Analisis Pengaruh Prediksi Kebangkrutan, Leverage, dan Pertumbuhan Perusahaan terhadap Opini Audit Going Concern.” JIFA (Journal of Islamic Finance and …. http://ejournal.iainsurakarta.ac.id/index.php/jifa/article/view/2488.</w:t>
      </w:r>
    </w:p>
    <w:p w14:paraId="76DDC7B1"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Mulyanti, D, dan F Achyani. 2022. “Analisis Faktor-Faktor Yang Mempengaruhi Penerimaanopini Audit Going Concern.” Students Conference </w:t>
      </w:r>
      <w:proofErr w:type="gramStart"/>
      <w:r w:rsidRPr="00376751">
        <w:rPr>
          <w:color w:val="000000"/>
          <w:w w:val="102"/>
          <w:szCs w:val="20"/>
        </w:rPr>
        <w:t>On</w:t>
      </w:r>
      <w:proofErr w:type="gramEnd"/>
      <w:r w:rsidRPr="00376751">
        <w:rPr>
          <w:color w:val="000000"/>
          <w:w w:val="102"/>
          <w:szCs w:val="20"/>
        </w:rPr>
        <w:t xml:space="preserve"> Accounting …: 235–49. http://jp.feb.unsoed.ac.id/index.php/scoab/article/view/3125%0Ahttp://jp.feb.unsoed.ac.id/index.php/scoab/article/download/3125/2100.</w:t>
      </w:r>
    </w:p>
    <w:p w14:paraId="3542BDA6"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Nagari, Y C R, dan D Suhartini. 2022. “Determinan opini audit Going Concern: Financial Distress sebagai variabel moderasi menggunakan Logistics Regression Analysis.” Owner: Riset dan Jurnal Akuntansi. http://polgan.ac.id/owner/index.php/owner/article/view/1048.</w:t>
      </w:r>
    </w:p>
    <w:p w14:paraId="5C7255F4"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Nagari, Yosafat Chrizar Ratu, dan Dwi Suhartini. 2022. “Determinan opini audit Going Concern: Financial Distress sebagai variabel moderasi menggunakan Logistics Regression Analysis.” Owner 6(4): 3988–99.</w:t>
      </w:r>
    </w:p>
    <w:p w14:paraId="29586AE0"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Oktaviana, D S, dan R Trisnawati. 2021. “Determinan Opini Audit Going Concern.” Seminar Nasional Akuntansi …. http://senapan.upnjatim.ac.id/index.php/senapan/article/view/107.</w:t>
      </w:r>
    </w:p>
    <w:p w14:paraId="4008E92B"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Prasetyo, W R. 2022. Pengaruh Pertumbuhan Perusahaan, Likuiditas, Kualitas Audit, dan Opini Audit Tahun Sebelumnya Terhadap Penerimaan Opini Audit Going Concern. digilib.uns.ac.id. https://digilib.uns.ac.id/dokumen/detail/87245/Pengaruh-Pertumbuhan-Perusahaan-Likuiditas-KualitasAudit-dan-Opini-Audit-Tahun-Sebelumnya-TerhadapPenerimaan-Opini-Audit-Going-Concern.</w:t>
      </w:r>
    </w:p>
    <w:p w14:paraId="30E5EFA3"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Putranto, P. 2018. “Faktor-faktor yang Berdampak pada Penerimaan Opini Audit Going Concern.” Jurnal Online Insan Akuntan. http://ejournal-binainsani.ac.id/index.php/JOIA/article/view/1037.</w:t>
      </w:r>
    </w:p>
    <w:p w14:paraId="002711F7"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PUTRI, N I. 2021. </w:t>
      </w:r>
      <w:proofErr w:type="gramStart"/>
      <w:r w:rsidRPr="00376751">
        <w:rPr>
          <w:color w:val="000000"/>
          <w:w w:val="102"/>
          <w:szCs w:val="20"/>
        </w:rPr>
        <w:t>… ,</w:t>
      </w:r>
      <w:proofErr w:type="gramEnd"/>
      <w:r w:rsidRPr="00376751">
        <w:rPr>
          <w:color w:val="000000"/>
          <w:w w:val="102"/>
          <w:szCs w:val="20"/>
        </w:rPr>
        <w:t xml:space="preserve"> PROFITABILITAS, DEBT DEFAULT, DAN KEPEMILIKAN MANAJERIAL TERHADAP PENERIMAAN OPINI AUDIT GOING CONCERN (STUDI EMPIRIS PADA …. digilib.unimed.ac.id. http://digilib.unimed.ac.id/id/eprint/42270.</w:t>
      </w:r>
    </w:p>
    <w:p w14:paraId="75E8EAB9"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Rachma, A W A, dan A Nurbaiti. 2021. “Pengaruh Mekanisme Corporate Governance, Kondisi Keuangan Perusahaan, Dan Disclosure Terhadap Opini Audit Going Concern (studi Empiris Pada Perusahaan ….” eProceedings …. https://openlibrarypublications.telkomuniversity.ac.id/index.php/management/article/view/16401.</w:t>
      </w:r>
    </w:p>
    <w:p w14:paraId="0381ABAE"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Rani, R. 2021. Pengaruh Kualitas Audit, Pertumbuhan Perusahaan Dan Opinion Shopping terhadap Penerimaan Opini Audit Going Concern (Studi Empiris pada Perusahaan …. repository.unp.ac.id. http://repository.unp.ac.id/33341/.</w:t>
      </w:r>
    </w:p>
    <w:p w14:paraId="20A3E670"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Rukminingsih, Gunawan Adnan, dan Mohammad Adnan Latief. 2020. 53 Journal of Chemical Information and Modeling Metode Penelitian Pendidikan. Penelitian Kuantitatif, Penelitian Kualitatif, Penelitian Tindakan Kelas.</w:t>
      </w:r>
    </w:p>
    <w:p w14:paraId="4ACC2151"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Safitri, S. 2018. PENGARUH FINANCIAL DISTRESS, LEVERAGE, DAN OPINION SHOPPING TERHADAP PENERIMAAN OPINI AUDIT GOING CONCERN (Studi Empiris pada …. repository.mercubuana.ac.id. https://repository.mercubuana.ac.id/62043/.</w:t>
      </w:r>
    </w:p>
    <w:p w14:paraId="1426F6F9"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Saputra, E, dan K T Kustina. 2018. “</w:t>
      </w:r>
      <w:proofErr w:type="gramStart"/>
      <w:r w:rsidRPr="00376751">
        <w:rPr>
          <w:color w:val="000000"/>
          <w:w w:val="102"/>
          <w:szCs w:val="20"/>
        </w:rPr>
        <w:t>… ,</w:t>
      </w:r>
      <w:proofErr w:type="gramEnd"/>
      <w:r w:rsidRPr="00376751">
        <w:rPr>
          <w:color w:val="000000"/>
          <w:w w:val="102"/>
          <w:szCs w:val="20"/>
        </w:rPr>
        <w:t xml:space="preserve"> debt default, kualitas auditor, auditor client tenure, opinion shopping dan disclosure, terhadap penerimaan opini audit going concern pada perusahaan manufaktur ….” KRISNA: Kumpulan Riset …. http://ejournal.warmadewa.ac.id/index.php/krisna/article/view/712.</w:t>
      </w:r>
    </w:p>
    <w:p w14:paraId="35DD5A11"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Sasongko, H, M Mulyaningsih, dan ... 2020. “MENGINTIP KONDISI PERUSAHAAN MELALUI ‘GOING CONCERN.’” JIAFE (Jurnal …. http://download.garuda.kemdikbud.go.id/article.php?article=1730752&amp;val=13635&amp;title=MENGINTIP KONDISI PERUSAHAAN MELALUI GOING CONCERN.</w:t>
      </w:r>
    </w:p>
    <w:p w14:paraId="07D50D14"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Savitri, R A, dan D Mahendra. 2018. “THE ANALYSIS OF FACTORS WHICH AFFECTING THE ACCEPTANCE OF GOING CONCERN OPINION.” Advance. https://e-journal.stie-aub.ac.id/index.php/advance/article/view/272.</w:t>
      </w:r>
    </w:p>
    <w:p w14:paraId="13637602"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Setiawan, A. 2016. “… kualitas audit, perubahan penjualan, opini audit tahun sebelumnya, audit tenure, dan ukuran perusahaan terhadap penerimaan opini audit going concern.”</w:t>
      </w:r>
    </w:p>
    <w:p w14:paraId="69B2F7FA"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Siallagan, T, M A Silalahi, dan K Hayati. 2020. “Pengaruh rasio keuangan terhadap penerimaan opini audit going concern tahun (2016–2018).” AKUNTABEL. https://journal.feb.unmul.ac.id/index.php/AKUNTABEL/article/view/7863.</w:t>
      </w:r>
    </w:p>
    <w:p w14:paraId="11E01614"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Simbolon, R M A. 2020. ANALSIS KECENDERUNGAN PENERIMAAN OPINI AUDIT GOING CONCERN STUDI EMPIRIS </w:t>
      </w:r>
      <w:r w:rsidRPr="00376751">
        <w:rPr>
          <w:color w:val="000000"/>
          <w:w w:val="102"/>
          <w:szCs w:val="20"/>
        </w:rPr>
        <w:lastRenderedPageBreak/>
        <w:t>PADA PERUSAHAAN PROPERTI YANG TERDAFTAR DI BEI …. repository.upnvj.ac.id. https://repository.upnvj.ac.id/8317/.</w:t>
      </w:r>
    </w:p>
    <w:p w14:paraId="5CBBB217"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SUANTURI, AEKA. 2012. Analisis Faktor-faktor yang Mempengaruhi Penerimaan Opini Audit Going Concern. repository.unej.ac.id. https://repository.unej.ac.id/handle/123456789/24589.</w:t>
      </w:r>
    </w:p>
    <w:p w14:paraId="27ABF85F"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Sugiyono. 2018. Metode Penelitian Kuantitatif Kualitatif Sugiyono Metode Penelitian Kuantitatif Kualitatif.</w:t>
      </w:r>
    </w:p>
    <w:p w14:paraId="0B640A17"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Suryani, S. 2020. “Pengaruh Profitabilitas, Ukuran Perusahaan, Debt Default dan Audit Tenure terhadap Opini Audit Going Concern.” Jurnal Ilmiah Akuntansi Kesatuan. https://jurnal.stiekesatuan.ac.id/index.php/jiakes/article/view/346.</w:t>
      </w:r>
    </w:p>
    <w:p w14:paraId="17E3C2F7"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Sya’baini, I N. 2016. Analisis Faktor-Faktor Yang Mempengaruhi Penerimaan Opini Audit Going Concern Pada Perusahaan Manufaktur Yang Terdaftar Di Bursa Efek IndonesiaTahun …. eprints.ums.ac.id. http://eprints.ums.ac.id/id/eprint/47108.</w:t>
      </w:r>
    </w:p>
    <w:p w14:paraId="17BB3076"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Taufan, T, dan C D Wenny. 2022. “Pengaruh Ukuran KAP, Financial Distress, Dan Opini Tahun Sebelumnya Terhadap Penerimaan Opini Audit Going Concern (Studi Empiris Pada Perusahaan Sektor ….” FORBISWIRA FORUM BISNIS DAN …. https://jurnal.mdp.ac.id/index.php/forbiswira/article/view/2242.</w:t>
      </w:r>
    </w:p>
    <w:p w14:paraId="033ED139"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Tyas, S I, dan K Ismawati. 2018. “Penerimaan opini audit going concern perusahaan manufaktur di Bursa Efek Indonesia.” Jurnal Akuntansi dan Sistem Teknologi …. http://ejurnal.unisri.ac.id/index.php/Akuntansi/article/view/2666.</w:t>
      </w:r>
    </w:p>
    <w:p w14:paraId="1BED2D95" w14:textId="77777777" w:rsidR="00376751"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Wahasusmiah, R, P Indriani, dan M I P Pratama. 2019. “Determinan Penerimaan Opini Audit Going Concern Pada Perusahaan Manufaktur.” MBIA. https://journal.binadarma.ac.id/index.php/mbia/article/view/353.</w:t>
      </w:r>
    </w:p>
    <w:p w14:paraId="1B112EBC" w14:textId="5140614F" w:rsidR="00B57DE8" w:rsidRPr="00376751" w:rsidRDefault="00376751" w:rsidP="00376751">
      <w:pPr>
        <w:widowControl w:val="0"/>
        <w:autoSpaceDE w:val="0"/>
        <w:autoSpaceDN w:val="0"/>
        <w:adjustRightInd w:val="0"/>
        <w:spacing w:after="60" w:line="240" w:lineRule="auto"/>
        <w:ind w:left="284" w:hanging="284"/>
        <w:jc w:val="both"/>
        <w:rPr>
          <w:color w:val="000000"/>
          <w:w w:val="102"/>
          <w:szCs w:val="20"/>
        </w:rPr>
      </w:pPr>
      <w:r w:rsidRPr="00376751">
        <w:rPr>
          <w:color w:val="000000"/>
          <w:w w:val="102"/>
          <w:szCs w:val="20"/>
        </w:rPr>
        <w:t xml:space="preserve">Widhiastuti, Ni Luh Putu, dan Putu Diah Kumalasari. 2022. “Opini Audit Going Concern Dan Faktor-Faktor Penyebabnya.” </w:t>
      </w:r>
      <w:proofErr w:type="gramStart"/>
      <w:r w:rsidRPr="00376751">
        <w:rPr>
          <w:color w:val="000000"/>
          <w:w w:val="102"/>
          <w:szCs w:val="20"/>
        </w:rPr>
        <w:t>Akurasi :</w:t>
      </w:r>
      <w:proofErr w:type="gramEnd"/>
      <w:r w:rsidRPr="00376751">
        <w:rPr>
          <w:color w:val="000000"/>
          <w:w w:val="102"/>
          <w:szCs w:val="20"/>
        </w:rPr>
        <w:t xml:space="preserve"> Jurnal Studi Akuntansi dan Keuangan 5(1): 121–38</w:t>
      </w:r>
      <w:r>
        <w:rPr>
          <w:color w:val="000000"/>
          <w:w w:val="102"/>
          <w:szCs w:val="20"/>
        </w:rPr>
        <w:t>.</w:t>
      </w:r>
    </w:p>
    <w:p w14:paraId="3741385E" w14:textId="5C1C4BF5" w:rsidR="00191023" w:rsidRDefault="00191023" w:rsidP="00B57DE8">
      <w:pPr>
        <w:widowControl w:val="0"/>
        <w:autoSpaceDE w:val="0"/>
        <w:autoSpaceDN w:val="0"/>
        <w:adjustRightInd w:val="0"/>
        <w:spacing w:after="60" w:line="240" w:lineRule="auto"/>
        <w:jc w:val="both"/>
        <w:rPr>
          <w:b/>
          <w:bCs/>
          <w:color w:val="000000"/>
          <w:w w:val="102"/>
          <w:szCs w:val="20"/>
        </w:rPr>
      </w:pPr>
    </w:p>
    <w:p w14:paraId="449ADFBA" w14:textId="0485C7BA" w:rsidR="00191023" w:rsidRDefault="00191023" w:rsidP="00B57DE8">
      <w:pPr>
        <w:widowControl w:val="0"/>
        <w:autoSpaceDE w:val="0"/>
        <w:autoSpaceDN w:val="0"/>
        <w:adjustRightInd w:val="0"/>
        <w:spacing w:after="60" w:line="240" w:lineRule="auto"/>
        <w:jc w:val="both"/>
        <w:rPr>
          <w:b/>
          <w:bCs/>
          <w:color w:val="000000"/>
          <w:w w:val="102"/>
          <w:szCs w:val="20"/>
        </w:rPr>
      </w:pPr>
    </w:p>
    <w:p w14:paraId="1B4BE64A" w14:textId="49CE75CE" w:rsidR="00191023" w:rsidRDefault="00191023" w:rsidP="00B57DE8">
      <w:pPr>
        <w:widowControl w:val="0"/>
        <w:autoSpaceDE w:val="0"/>
        <w:autoSpaceDN w:val="0"/>
        <w:adjustRightInd w:val="0"/>
        <w:spacing w:after="60" w:line="240" w:lineRule="auto"/>
        <w:jc w:val="both"/>
        <w:rPr>
          <w:b/>
          <w:bCs/>
          <w:color w:val="000000"/>
          <w:w w:val="102"/>
          <w:szCs w:val="20"/>
        </w:rPr>
      </w:pPr>
    </w:p>
    <w:p w14:paraId="108A4046" w14:textId="22D06824" w:rsidR="00191023" w:rsidRDefault="00191023" w:rsidP="00B57DE8">
      <w:pPr>
        <w:widowControl w:val="0"/>
        <w:autoSpaceDE w:val="0"/>
        <w:autoSpaceDN w:val="0"/>
        <w:adjustRightInd w:val="0"/>
        <w:spacing w:after="60" w:line="240" w:lineRule="auto"/>
        <w:jc w:val="both"/>
        <w:rPr>
          <w:b/>
          <w:bCs/>
          <w:color w:val="000000"/>
          <w:w w:val="102"/>
          <w:szCs w:val="20"/>
        </w:rPr>
      </w:pPr>
    </w:p>
    <w:p w14:paraId="3037F516" w14:textId="6DC215D2" w:rsidR="00191023" w:rsidRDefault="00191023" w:rsidP="00B57DE8">
      <w:pPr>
        <w:widowControl w:val="0"/>
        <w:autoSpaceDE w:val="0"/>
        <w:autoSpaceDN w:val="0"/>
        <w:adjustRightInd w:val="0"/>
        <w:spacing w:after="60" w:line="240" w:lineRule="auto"/>
        <w:jc w:val="both"/>
        <w:rPr>
          <w:b/>
          <w:bCs/>
          <w:color w:val="000000"/>
          <w:w w:val="102"/>
          <w:szCs w:val="20"/>
        </w:rPr>
      </w:pPr>
    </w:p>
    <w:p w14:paraId="49CC0868" w14:textId="336B6602" w:rsidR="00191023" w:rsidRDefault="00191023" w:rsidP="00B57DE8">
      <w:pPr>
        <w:widowControl w:val="0"/>
        <w:autoSpaceDE w:val="0"/>
        <w:autoSpaceDN w:val="0"/>
        <w:adjustRightInd w:val="0"/>
        <w:spacing w:after="60" w:line="240" w:lineRule="auto"/>
        <w:jc w:val="both"/>
        <w:rPr>
          <w:b/>
          <w:bCs/>
          <w:color w:val="000000"/>
          <w:w w:val="102"/>
          <w:szCs w:val="20"/>
        </w:rPr>
      </w:pPr>
    </w:p>
    <w:p w14:paraId="3A35279B" w14:textId="243D26B9" w:rsidR="00191023" w:rsidRDefault="00191023" w:rsidP="00B57DE8">
      <w:pPr>
        <w:widowControl w:val="0"/>
        <w:autoSpaceDE w:val="0"/>
        <w:autoSpaceDN w:val="0"/>
        <w:adjustRightInd w:val="0"/>
        <w:spacing w:after="60" w:line="240" w:lineRule="auto"/>
        <w:jc w:val="both"/>
        <w:rPr>
          <w:b/>
          <w:bCs/>
          <w:color w:val="000000"/>
          <w:w w:val="102"/>
          <w:szCs w:val="20"/>
        </w:rPr>
      </w:pPr>
    </w:p>
    <w:p w14:paraId="590350A3" w14:textId="6F39575A" w:rsidR="00191023" w:rsidRDefault="00191023" w:rsidP="00B57DE8">
      <w:pPr>
        <w:widowControl w:val="0"/>
        <w:autoSpaceDE w:val="0"/>
        <w:autoSpaceDN w:val="0"/>
        <w:adjustRightInd w:val="0"/>
        <w:spacing w:after="60" w:line="240" w:lineRule="auto"/>
        <w:jc w:val="both"/>
        <w:rPr>
          <w:b/>
          <w:bCs/>
          <w:color w:val="000000"/>
          <w:w w:val="102"/>
          <w:szCs w:val="20"/>
        </w:rPr>
      </w:pPr>
    </w:p>
    <w:p w14:paraId="05D9053F" w14:textId="71AAE493" w:rsidR="00191023" w:rsidRDefault="00191023" w:rsidP="00B57DE8">
      <w:pPr>
        <w:widowControl w:val="0"/>
        <w:autoSpaceDE w:val="0"/>
        <w:autoSpaceDN w:val="0"/>
        <w:adjustRightInd w:val="0"/>
        <w:spacing w:after="60" w:line="240" w:lineRule="auto"/>
        <w:jc w:val="both"/>
        <w:rPr>
          <w:b/>
          <w:bCs/>
          <w:color w:val="000000"/>
          <w:w w:val="102"/>
          <w:szCs w:val="20"/>
        </w:rPr>
      </w:pPr>
    </w:p>
    <w:p w14:paraId="440FDF6D" w14:textId="2FFB3489" w:rsidR="00191023" w:rsidRDefault="00191023" w:rsidP="00B57DE8">
      <w:pPr>
        <w:widowControl w:val="0"/>
        <w:autoSpaceDE w:val="0"/>
        <w:autoSpaceDN w:val="0"/>
        <w:adjustRightInd w:val="0"/>
        <w:spacing w:after="60" w:line="240" w:lineRule="auto"/>
        <w:jc w:val="both"/>
        <w:rPr>
          <w:b/>
          <w:bCs/>
          <w:color w:val="000000"/>
          <w:w w:val="102"/>
          <w:szCs w:val="20"/>
        </w:rPr>
      </w:pPr>
    </w:p>
    <w:p w14:paraId="531B40BD" w14:textId="578F6BC0" w:rsidR="00191023" w:rsidRDefault="00191023" w:rsidP="00B57DE8">
      <w:pPr>
        <w:widowControl w:val="0"/>
        <w:autoSpaceDE w:val="0"/>
        <w:autoSpaceDN w:val="0"/>
        <w:adjustRightInd w:val="0"/>
        <w:spacing w:after="60" w:line="240" w:lineRule="auto"/>
        <w:jc w:val="both"/>
        <w:rPr>
          <w:b/>
          <w:bCs/>
          <w:color w:val="000000"/>
          <w:w w:val="102"/>
          <w:szCs w:val="20"/>
        </w:rPr>
      </w:pPr>
    </w:p>
    <w:p w14:paraId="34257D77" w14:textId="1D4B1A78" w:rsidR="00191023" w:rsidRDefault="00191023" w:rsidP="00B57DE8">
      <w:pPr>
        <w:widowControl w:val="0"/>
        <w:autoSpaceDE w:val="0"/>
        <w:autoSpaceDN w:val="0"/>
        <w:adjustRightInd w:val="0"/>
        <w:spacing w:after="60" w:line="240" w:lineRule="auto"/>
        <w:jc w:val="both"/>
        <w:rPr>
          <w:b/>
          <w:bCs/>
          <w:color w:val="000000"/>
          <w:w w:val="102"/>
          <w:szCs w:val="20"/>
        </w:rPr>
      </w:pPr>
    </w:p>
    <w:p w14:paraId="65433812" w14:textId="5ECAF982" w:rsidR="00191023" w:rsidRDefault="00191023" w:rsidP="00B57DE8">
      <w:pPr>
        <w:widowControl w:val="0"/>
        <w:autoSpaceDE w:val="0"/>
        <w:autoSpaceDN w:val="0"/>
        <w:adjustRightInd w:val="0"/>
        <w:spacing w:after="60" w:line="240" w:lineRule="auto"/>
        <w:jc w:val="both"/>
        <w:rPr>
          <w:b/>
          <w:bCs/>
          <w:color w:val="000000"/>
          <w:w w:val="102"/>
          <w:szCs w:val="20"/>
        </w:rPr>
      </w:pPr>
    </w:p>
    <w:p w14:paraId="2BD2CA71" w14:textId="50AD1F33" w:rsidR="00191023" w:rsidRDefault="00191023" w:rsidP="00B57DE8">
      <w:pPr>
        <w:widowControl w:val="0"/>
        <w:autoSpaceDE w:val="0"/>
        <w:autoSpaceDN w:val="0"/>
        <w:adjustRightInd w:val="0"/>
        <w:spacing w:after="60" w:line="240" w:lineRule="auto"/>
        <w:jc w:val="both"/>
        <w:rPr>
          <w:b/>
          <w:bCs/>
          <w:color w:val="000000"/>
          <w:w w:val="102"/>
          <w:szCs w:val="20"/>
        </w:rPr>
      </w:pPr>
    </w:p>
    <w:p w14:paraId="1C92D2AD" w14:textId="47A906F2" w:rsidR="00191023" w:rsidRDefault="00191023" w:rsidP="00B57DE8">
      <w:pPr>
        <w:widowControl w:val="0"/>
        <w:autoSpaceDE w:val="0"/>
        <w:autoSpaceDN w:val="0"/>
        <w:adjustRightInd w:val="0"/>
        <w:spacing w:after="60" w:line="240" w:lineRule="auto"/>
        <w:jc w:val="both"/>
        <w:rPr>
          <w:b/>
          <w:bCs/>
          <w:color w:val="000000"/>
          <w:w w:val="102"/>
          <w:szCs w:val="20"/>
        </w:rPr>
      </w:pPr>
    </w:p>
    <w:p w14:paraId="3A7C526C" w14:textId="4E72D146" w:rsidR="00191023" w:rsidRDefault="00191023" w:rsidP="00B57DE8">
      <w:pPr>
        <w:widowControl w:val="0"/>
        <w:autoSpaceDE w:val="0"/>
        <w:autoSpaceDN w:val="0"/>
        <w:adjustRightInd w:val="0"/>
        <w:spacing w:after="60" w:line="240" w:lineRule="auto"/>
        <w:jc w:val="both"/>
        <w:rPr>
          <w:b/>
          <w:bCs/>
          <w:color w:val="000000"/>
          <w:w w:val="102"/>
          <w:szCs w:val="20"/>
        </w:rPr>
      </w:pPr>
    </w:p>
    <w:p w14:paraId="25D354AE" w14:textId="3764606B" w:rsidR="00191023" w:rsidRDefault="00191023" w:rsidP="00B57DE8">
      <w:pPr>
        <w:widowControl w:val="0"/>
        <w:autoSpaceDE w:val="0"/>
        <w:autoSpaceDN w:val="0"/>
        <w:adjustRightInd w:val="0"/>
        <w:spacing w:after="60" w:line="240" w:lineRule="auto"/>
        <w:jc w:val="both"/>
        <w:rPr>
          <w:b/>
          <w:bCs/>
          <w:color w:val="000000"/>
          <w:w w:val="102"/>
          <w:szCs w:val="20"/>
        </w:rPr>
      </w:pPr>
    </w:p>
    <w:p w14:paraId="20D3AE1B" w14:textId="73CB155A" w:rsidR="00191023" w:rsidRDefault="00191023" w:rsidP="00B57DE8">
      <w:pPr>
        <w:widowControl w:val="0"/>
        <w:autoSpaceDE w:val="0"/>
        <w:autoSpaceDN w:val="0"/>
        <w:adjustRightInd w:val="0"/>
        <w:spacing w:after="60" w:line="240" w:lineRule="auto"/>
        <w:jc w:val="both"/>
        <w:rPr>
          <w:b/>
          <w:bCs/>
          <w:color w:val="000000"/>
          <w:w w:val="102"/>
          <w:szCs w:val="20"/>
        </w:rPr>
      </w:pPr>
    </w:p>
    <w:p w14:paraId="50FF0BD7" w14:textId="6376118B" w:rsidR="00191023" w:rsidRDefault="00191023" w:rsidP="00B57DE8">
      <w:pPr>
        <w:widowControl w:val="0"/>
        <w:autoSpaceDE w:val="0"/>
        <w:autoSpaceDN w:val="0"/>
        <w:adjustRightInd w:val="0"/>
        <w:spacing w:after="60" w:line="240" w:lineRule="auto"/>
        <w:jc w:val="both"/>
        <w:rPr>
          <w:b/>
          <w:bCs/>
          <w:color w:val="000000"/>
          <w:w w:val="102"/>
          <w:szCs w:val="20"/>
        </w:rPr>
      </w:pPr>
    </w:p>
    <w:p w14:paraId="438BE48D" w14:textId="68CBD401" w:rsidR="00191023" w:rsidRDefault="00191023" w:rsidP="00B57DE8">
      <w:pPr>
        <w:widowControl w:val="0"/>
        <w:autoSpaceDE w:val="0"/>
        <w:autoSpaceDN w:val="0"/>
        <w:adjustRightInd w:val="0"/>
        <w:spacing w:after="60" w:line="240" w:lineRule="auto"/>
        <w:jc w:val="both"/>
        <w:rPr>
          <w:b/>
          <w:bCs/>
          <w:color w:val="000000"/>
          <w:w w:val="102"/>
          <w:szCs w:val="20"/>
        </w:rPr>
      </w:pPr>
    </w:p>
    <w:p w14:paraId="6E9121F2" w14:textId="50D03D38" w:rsidR="00191023" w:rsidRDefault="00191023" w:rsidP="00B57DE8">
      <w:pPr>
        <w:widowControl w:val="0"/>
        <w:autoSpaceDE w:val="0"/>
        <w:autoSpaceDN w:val="0"/>
        <w:adjustRightInd w:val="0"/>
        <w:spacing w:after="60" w:line="240" w:lineRule="auto"/>
        <w:jc w:val="both"/>
        <w:rPr>
          <w:b/>
          <w:bCs/>
          <w:color w:val="000000"/>
          <w:w w:val="102"/>
          <w:szCs w:val="20"/>
        </w:rPr>
      </w:pPr>
    </w:p>
    <w:p w14:paraId="5FC9745E" w14:textId="4E8230FC" w:rsidR="00191023" w:rsidRDefault="00191023" w:rsidP="00B57DE8">
      <w:pPr>
        <w:widowControl w:val="0"/>
        <w:autoSpaceDE w:val="0"/>
        <w:autoSpaceDN w:val="0"/>
        <w:adjustRightInd w:val="0"/>
        <w:spacing w:after="60" w:line="240" w:lineRule="auto"/>
        <w:jc w:val="both"/>
        <w:rPr>
          <w:b/>
          <w:bCs/>
          <w:color w:val="000000"/>
          <w:w w:val="102"/>
          <w:szCs w:val="20"/>
        </w:rPr>
      </w:pPr>
    </w:p>
    <w:p w14:paraId="739E1088" w14:textId="11ED1B35" w:rsidR="00191023" w:rsidRDefault="00191023" w:rsidP="00B57DE8">
      <w:pPr>
        <w:widowControl w:val="0"/>
        <w:autoSpaceDE w:val="0"/>
        <w:autoSpaceDN w:val="0"/>
        <w:adjustRightInd w:val="0"/>
        <w:spacing w:after="60" w:line="240" w:lineRule="auto"/>
        <w:jc w:val="both"/>
        <w:rPr>
          <w:b/>
          <w:bCs/>
          <w:color w:val="000000"/>
          <w:w w:val="102"/>
          <w:szCs w:val="20"/>
        </w:rPr>
      </w:pPr>
    </w:p>
    <w:p w14:paraId="50398603" w14:textId="49D6FF0D" w:rsidR="00191023" w:rsidRDefault="00191023" w:rsidP="00B57DE8">
      <w:pPr>
        <w:widowControl w:val="0"/>
        <w:autoSpaceDE w:val="0"/>
        <w:autoSpaceDN w:val="0"/>
        <w:adjustRightInd w:val="0"/>
        <w:spacing w:after="60" w:line="240" w:lineRule="auto"/>
        <w:jc w:val="both"/>
        <w:rPr>
          <w:b/>
          <w:bCs/>
          <w:color w:val="000000"/>
          <w:w w:val="102"/>
          <w:szCs w:val="20"/>
        </w:rPr>
      </w:pPr>
    </w:p>
    <w:p w14:paraId="58036705" w14:textId="159407BB" w:rsidR="00191023" w:rsidRDefault="00191023" w:rsidP="00B57DE8">
      <w:pPr>
        <w:widowControl w:val="0"/>
        <w:autoSpaceDE w:val="0"/>
        <w:autoSpaceDN w:val="0"/>
        <w:adjustRightInd w:val="0"/>
        <w:spacing w:after="60" w:line="240" w:lineRule="auto"/>
        <w:jc w:val="both"/>
        <w:rPr>
          <w:b/>
          <w:bCs/>
          <w:color w:val="000000"/>
          <w:w w:val="102"/>
          <w:szCs w:val="20"/>
        </w:rPr>
      </w:pPr>
    </w:p>
    <w:p w14:paraId="6AF94D66" w14:textId="791B324B" w:rsidR="00191023" w:rsidRDefault="00191023" w:rsidP="00B57DE8">
      <w:pPr>
        <w:widowControl w:val="0"/>
        <w:autoSpaceDE w:val="0"/>
        <w:autoSpaceDN w:val="0"/>
        <w:adjustRightInd w:val="0"/>
        <w:spacing w:after="60" w:line="240" w:lineRule="auto"/>
        <w:jc w:val="both"/>
        <w:rPr>
          <w:b/>
          <w:bCs/>
          <w:color w:val="000000"/>
          <w:w w:val="102"/>
          <w:szCs w:val="20"/>
        </w:rPr>
      </w:pPr>
    </w:p>
    <w:p w14:paraId="23656B59" w14:textId="04D3F1CE" w:rsidR="00191023" w:rsidRDefault="00191023" w:rsidP="00B57DE8">
      <w:pPr>
        <w:widowControl w:val="0"/>
        <w:autoSpaceDE w:val="0"/>
        <w:autoSpaceDN w:val="0"/>
        <w:adjustRightInd w:val="0"/>
        <w:spacing w:after="60" w:line="240" w:lineRule="auto"/>
        <w:jc w:val="both"/>
        <w:rPr>
          <w:b/>
          <w:bCs/>
          <w:color w:val="000000"/>
          <w:w w:val="102"/>
          <w:szCs w:val="20"/>
        </w:rPr>
      </w:pPr>
    </w:p>
    <w:p w14:paraId="51F00F5A" w14:textId="0189CD49" w:rsidR="00191023" w:rsidRDefault="00191023" w:rsidP="00B57DE8">
      <w:pPr>
        <w:widowControl w:val="0"/>
        <w:autoSpaceDE w:val="0"/>
        <w:autoSpaceDN w:val="0"/>
        <w:adjustRightInd w:val="0"/>
        <w:spacing w:after="60" w:line="240" w:lineRule="auto"/>
        <w:jc w:val="both"/>
        <w:rPr>
          <w:b/>
          <w:bCs/>
          <w:color w:val="000000"/>
          <w:w w:val="102"/>
          <w:szCs w:val="20"/>
        </w:rPr>
      </w:pPr>
    </w:p>
    <w:p w14:paraId="1E9517FA" w14:textId="58C59CF9" w:rsidR="00191023" w:rsidRDefault="00191023" w:rsidP="00B57DE8">
      <w:pPr>
        <w:widowControl w:val="0"/>
        <w:autoSpaceDE w:val="0"/>
        <w:autoSpaceDN w:val="0"/>
        <w:adjustRightInd w:val="0"/>
        <w:spacing w:after="60" w:line="240" w:lineRule="auto"/>
        <w:jc w:val="both"/>
        <w:rPr>
          <w:b/>
          <w:bCs/>
          <w:color w:val="000000"/>
          <w:w w:val="102"/>
          <w:szCs w:val="20"/>
        </w:rPr>
      </w:pPr>
    </w:p>
    <w:p w14:paraId="3023E8EB" w14:textId="6CAB431B" w:rsidR="00191023" w:rsidRDefault="00191023" w:rsidP="00B57DE8">
      <w:pPr>
        <w:widowControl w:val="0"/>
        <w:autoSpaceDE w:val="0"/>
        <w:autoSpaceDN w:val="0"/>
        <w:adjustRightInd w:val="0"/>
        <w:spacing w:after="60" w:line="240" w:lineRule="auto"/>
        <w:jc w:val="both"/>
        <w:rPr>
          <w:b/>
          <w:bCs/>
          <w:color w:val="000000"/>
          <w:w w:val="102"/>
          <w:szCs w:val="20"/>
        </w:rPr>
      </w:pPr>
    </w:p>
    <w:p w14:paraId="013A4472" w14:textId="3360709A" w:rsidR="00191023" w:rsidRDefault="00191023" w:rsidP="00B57DE8">
      <w:pPr>
        <w:widowControl w:val="0"/>
        <w:autoSpaceDE w:val="0"/>
        <w:autoSpaceDN w:val="0"/>
        <w:adjustRightInd w:val="0"/>
        <w:spacing w:after="60" w:line="240" w:lineRule="auto"/>
        <w:jc w:val="both"/>
        <w:rPr>
          <w:b/>
          <w:bCs/>
          <w:color w:val="000000"/>
          <w:w w:val="102"/>
          <w:szCs w:val="20"/>
        </w:rPr>
      </w:pPr>
    </w:p>
    <w:p w14:paraId="15CC9DB7" w14:textId="65CB2552" w:rsidR="00191023" w:rsidRDefault="00191023" w:rsidP="00B57DE8">
      <w:pPr>
        <w:widowControl w:val="0"/>
        <w:autoSpaceDE w:val="0"/>
        <w:autoSpaceDN w:val="0"/>
        <w:adjustRightInd w:val="0"/>
        <w:spacing w:after="60" w:line="240" w:lineRule="auto"/>
        <w:jc w:val="both"/>
        <w:rPr>
          <w:b/>
          <w:bCs/>
          <w:color w:val="000000"/>
          <w:w w:val="102"/>
          <w:szCs w:val="20"/>
        </w:rPr>
      </w:pPr>
    </w:p>
    <w:p w14:paraId="3D63A6F3" w14:textId="33088681" w:rsidR="00191023" w:rsidRDefault="00191023" w:rsidP="00B57DE8">
      <w:pPr>
        <w:widowControl w:val="0"/>
        <w:autoSpaceDE w:val="0"/>
        <w:autoSpaceDN w:val="0"/>
        <w:adjustRightInd w:val="0"/>
        <w:spacing w:after="60" w:line="240" w:lineRule="auto"/>
        <w:jc w:val="both"/>
        <w:rPr>
          <w:b/>
          <w:bCs/>
          <w:color w:val="000000"/>
          <w:w w:val="102"/>
          <w:szCs w:val="20"/>
        </w:rPr>
      </w:pPr>
    </w:p>
    <w:p w14:paraId="691CCE9D" w14:textId="112F4F61" w:rsidR="00191023" w:rsidRDefault="00191023" w:rsidP="00B57DE8">
      <w:pPr>
        <w:widowControl w:val="0"/>
        <w:autoSpaceDE w:val="0"/>
        <w:autoSpaceDN w:val="0"/>
        <w:adjustRightInd w:val="0"/>
        <w:spacing w:after="60" w:line="240" w:lineRule="auto"/>
        <w:jc w:val="both"/>
        <w:rPr>
          <w:b/>
          <w:bCs/>
          <w:color w:val="000000"/>
          <w:w w:val="102"/>
          <w:szCs w:val="20"/>
        </w:rPr>
      </w:pPr>
    </w:p>
    <w:p w14:paraId="5F04F6C1" w14:textId="5C7B44FF" w:rsidR="00191023" w:rsidRDefault="00191023" w:rsidP="00B57DE8">
      <w:pPr>
        <w:widowControl w:val="0"/>
        <w:autoSpaceDE w:val="0"/>
        <w:autoSpaceDN w:val="0"/>
        <w:adjustRightInd w:val="0"/>
        <w:spacing w:after="60" w:line="240" w:lineRule="auto"/>
        <w:jc w:val="both"/>
        <w:rPr>
          <w:b/>
          <w:bCs/>
          <w:color w:val="000000"/>
          <w:w w:val="102"/>
          <w:szCs w:val="20"/>
        </w:rPr>
      </w:pPr>
    </w:p>
    <w:p w14:paraId="0012C049" w14:textId="6A67553B" w:rsidR="00191023" w:rsidRDefault="00191023" w:rsidP="00B57DE8">
      <w:pPr>
        <w:widowControl w:val="0"/>
        <w:autoSpaceDE w:val="0"/>
        <w:autoSpaceDN w:val="0"/>
        <w:adjustRightInd w:val="0"/>
        <w:spacing w:after="60" w:line="240" w:lineRule="auto"/>
        <w:jc w:val="both"/>
        <w:rPr>
          <w:b/>
          <w:bCs/>
          <w:color w:val="000000"/>
          <w:w w:val="102"/>
          <w:szCs w:val="20"/>
        </w:rPr>
      </w:pPr>
    </w:p>
    <w:p w14:paraId="193DB8CA" w14:textId="6FE6E443" w:rsidR="00191023" w:rsidRDefault="00191023" w:rsidP="00B57DE8">
      <w:pPr>
        <w:widowControl w:val="0"/>
        <w:autoSpaceDE w:val="0"/>
        <w:autoSpaceDN w:val="0"/>
        <w:adjustRightInd w:val="0"/>
        <w:spacing w:after="60" w:line="240" w:lineRule="auto"/>
        <w:jc w:val="both"/>
        <w:rPr>
          <w:b/>
          <w:bCs/>
          <w:color w:val="000000"/>
          <w:w w:val="102"/>
          <w:szCs w:val="20"/>
        </w:rPr>
      </w:pPr>
    </w:p>
    <w:p w14:paraId="07CFD81A" w14:textId="4BA2175D" w:rsidR="00191023" w:rsidRDefault="00191023" w:rsidP="00B57DE8">
      <w:pPr>
        <w:widowControl w:val="0"/>
        <w:autoSpaceDE w:val="0"/>
        <w:autoSpaceDN w:val="0"/>
        <w:adjustRightInd w:val="0"/>
        <w:spacing w:after="60" w:line="240" w:lineRule="auto"/>
        <w:jc w:val="both"/>
        <w:rPr>
          <w:b/>
          <w:bCs/>
          <w:color w:val="000000"/>
          <w:w w:val="102"/>
          <w:szCs w:val="20"/>
        </w:rPr>
      </w:pPr>
    </w:p>
    <w:p w14:paraId="24673449" w14:textId="264DA4C5" w:rsidR="00191023" w:rsidRDefault="00191023" w:rsidP="00B57DE8">
      <w:pPr>
        <w:widowControl w:val="0"/>
        <w:autoSpaceDE w:val="0"/>
        <w:autoSpaceDN w:val="0"/>
        <w:adjustRightInd w:val="0"/>
        <w:spacing w:after="60" w:line="240" w:lineRule="auto"/>
        <w:jc w:val="both"/>
        <w:rPr>
          <w:b/>
          <w:bCs/>
          <w:color w:val="000000"/>
          <w:w w:val="102"/>
          <w:szCs w:val="20"/>
        </w:rPr>
      </w:pPr>
    </w:p>
    <w:p w14:paraId="0BB6E1A7" w14:textId="01FB6D1C" w:rsidR="00191023" w:rsidRDefault="00191023" w:rsidP="00B57DE8">
      <w:pPr>
        <w:widowControl w:val="0"/>
        <w:autoSpaceDE w:val="0"/>
        <w:autoSpaceDN w:val="0"/>
        <w:adjustRightInd w:val="0"/>
        <w:spacing w:after="60" w:line="240" w:lineRule="auto"/>
        <w:jc w:val="both"/>
        <w:rPr>
          <w:b/>
          <w:bCs/>
          <w:color w:val="000000"/>
          <w:w w:val="102"/>
          <w:szCs w:val="20"/>
        </w:rPr>
      </w:pPr>
    </w:p>
    <w:p w14:paraId="25956972" w14:textId="6FFAFC93" w:rsidR="00191023" w:rsidRDefault="00191023" w:rsidP="00B57DE8">
      <w:pPr>
        <w:widowControl w:val="0"/>
        <w:autoSpaceDE w:val="0"/>
        <w:autoSpaceDN w:val="0"/>
        <w:adjustRightInd w:val="0"/>
        <w:spacing w:after="60" w:line="240" w:lineRule="auto"/>
        <w:jc w:val="both"/>
        <w:rPr>
          <w:b/>
          <w:bCs/>
          <w:color w:val="000000"/>
          <w:w w:val="102"/>
          <w:szCs w:val="20"/>
        </w:rPr>
      </w:pPr>
    </w:p>
    <w:p w14:paraId="0AB89329" w14:textId="65F233D4" w:rsidR="00191023" w:rsidRDefault="00191023" w:rsidP="00B57DE8">
      <w:pPr>
        <w:widowControl w:val="0"/>
        <w:autoSpaceDE w:val="0"/>
        <w:autoSpaceDN w:val="0"/>
        <w:adjustRightInd w:val="0"/>
        <w:spacing w:after="60" w:line="240" w:lineRule="auto"/>
        <w:jc w:val="both"/>
        <w:rPr>
          <w:b/>
          <w:bCs/>
          <w:color w:val="000000"/>
          <w:w w:val="102"/>
          <w:szCs w:val="20"/>
        </w:rPr>
      </w:pPr>
    </w:p>
    <w:p w14:paraId="17BB451A" w14:textId="0656BE4E" w:rsidR="00191023" w:rsidRDefault="00191023" w:rsidP="00B57DE8">
      <w:pPr>
        <w:widowControl w:val="0"/>
        <w:autoSpaceDE w:val="0"/>
        <w:autoSpaceDN w:val="0"/>
        <w:adjustRightInd w:val="0"/>
        <w:spacing w:after="60" w:line="240" w:lineRule="auto"/>
        <w:jc w:val="both"/>
        <w:rPr>
          <w:b/>
          <w:bCs/>
          <w:color w:val="000000"/>
          <w:w w:val="102"/>
          <w:szCs w:val="20"/>
        </w:rPr>
      </w:pPr>
    </w:p>
    <w:p w14:paraId="48CF713B" w14:textId="5937B56E" w:rsidR="00191023" w:rsidRDefault="00191023" w:rsidP="00B57DE8">
      <w:pPr>
        <w:widowControl w:val="0"/>
        <w:autoSpaceDE w:val="0"/>
        <w:autoSpaceDN w:val="0"/>
        <w:adjustRightInd w:val="0"/>
        <w:spacing w:after="60" w:line="240" w:lineRule="auto"/>
        <w:jc w:val="both"/>
        <w:rPr>
          <w:b/>
          <w:bCs/>
          <w:color w:val="000000"/>
          <w:w w:val="102"/>
          <w:szCs w:val="20"/>
        </w:rPr>
      </w:pPr>
    </w:p>
    <w:p w14:paraId="4938245D" w14:textId="09D7D0BD" w:rsidR="00191023" w:rsidRDefault="00191023" w:rsidP="00B57DE8">
      <w:pPr>
        <w:widowControl w:val="0"/>
        <w:autoSpaceDE w:val="0"/>
        <w:autoSpaceDN w:val="0"/>
        <w:adjustRightInd w:val="0"/>
        <w:spacing w:after="60" w:line="240" w:lineRule="auto"/>
        <w:jc w:val="both"/>
        <w:rPr>
          <w:b/>
          <w:bCs/>
          <w:color w:val="000000"/>
          <w:w w:val="102"/>
          <w:szCs w:val="20"/>
        </w:rPr>
      </w:pPr>
    </w:p>
    <w:p w14:paraId="376FAB0B" w14:textId="52018A4E" w:rsidR="00191023" w:rsidRDefault="00191023" w:rsidP="00B57DE8">
      <w:pPr>
        <w:widowControl w:val="0"/>
        <w:autoSpaceDE w:val="0"/>
        <w:autoSpaceDN w:val="0"/>
        <w:adjustRightInd w:val="0"/>
        <w:spacing w:after="60" w:line="240" w:lineRule="auto"/>
        <w:jc w:val="both"/>
        <w:rPr>
          <w:b/>
          <w:bCs/>
          <w:color w:val="000000"/>
          <w:w w:val="102"/>
          <w:szCs w:val="20"/>
        </w:rPr>
      </w:pPr>
    </w:p>
    <w:p w14:paraId="2023ACDA" w14:textId="13AAEADC" w:rsidR="00191023" w:rsidRDefault="00191023" w:rsidP="00B57DE8">
      <w:pPr>
        <w:widowControl w:val="0"/>
        <w:autoSpaceDE w:val="0"/>
        <w:autoSpaceDN w:val="0"/>
        <w:adjustRightInd w:val="0"/>
        <w:spacing w:after="60" w:line="240" w:lineRule="auto"/>
        <w:jc w:val="both"/>
        <w:rPr>
          <w:b/>
          <w:bCs/>
          <w:color w:val="000000"/>
          <w:w w:val="102"/>
          <w:szCs w:val="20"/>
        </w:rPr>
      </w:pPr>
    </w:p>
    <w:p w14:paraId="1F00AE39" w14:textId="7828924D" w:rsidR="00191023" w:rsidRDefault="00191023" w:rsidP="00B57DE8">
      <w:pPr>
        <w:widowControl w:val="0"/>
        <w:autoSpaceDE w:val="0"/>
        <w:autoSpaceDN w:val="0"/>
        <w:adjustRightInd w:val="0"/>
        <w:spacing w:after="60" w:line="240" w:lineRule="auto"/>
        <w:jc w:val="both"/>
        <w:rPr>
          <w:b/>
          <w:bCs/>
          <w:color w:val="000000"/>
          <w:w w:val="102"/>
          <w:szCs w:val="20"/>
        </w:rPr>
      </w:pPr>
    </w:p>
    <w:p w14:paraId="47818CC2" w14:textId="5001C0D2" w:rsidR="00191023" w:rsidRDefault="00191023" w:rsidP="00B57DE8">
      <w:pPr>
        <w:widowControl w:val="0"/>
        <w:autoSpaceDE w:val="0"/>
        <w:autoSpaceDN w:val="0"/>
        <w:adjustRightInd w:val="0"/>
        <w:spacing w:after="60" w:line="240" w:lineRule="auto"/>
        <w:jc w:val="both"/>
        <w:rPr>
          <w:b/>
          <w:bCs/>
          <w:color w:val="000000"/>
          <w:w w:val="102"/>
          <w:szCs w:val="20"/>
        </w:rPr>
      </w:pPr>
    </w:p>
    <w:p w14:paraId="6E4F2A07" w14:textId="6E0C4467" w:rsidR="00191023" w:rsidRDefault="00191023" w:rsidP="00B57DE8">
      <w:pPr>
        <w:widowControl w:val="0"/>
        <w:autoSpaceDE w:val="0"/>
        <w:autoSpaceDN w:val="0"/>
        <w:adjustRightInd w:val="0"/>
        <w:spacing w:after="60" w:line="240" w:lineRule="auto"/>
        <w:jc w:val="both"/>
        <w:rPr>
          <w:b/>
          <w:bCs/>
          <w:color w:val="000000"/>
          <w:w w:val="102"/>
          <w:szCs w:val="20"/>
        </w:rPr>
      </w:pPr>
    </w:p>
    <w:p w14:paraId="67A918FA" w14:textId="5D302EDF" w:rsidR="00191023" w:rsidRDefault="00191023" w:rsidP="00B57DE8">
      <w:pPr>
        <w:widowControl w:val="0"/>
        <w:autoSpaceDE w:val="0"/>
        <w:autoSpaceDN w:val="0"/>
        <w:adjustRightInd w:val="0"/>
        <w:spacing w:after="60" w:line="240" w:lineRule="auto"/>
        <w:jc w:val="both"/>
        <w:rPr>
          <w:b/>
          <w:bCs/>
          <w:color w:val="000000"/>
          <w:w w:val="102"/>
          <w:szCs w:val="20"/>
        </w:rPr>
      </w:pPr>
    </w:p>
    <w:p w14:paraId="1C830B1D" w14:textId="6A4E12CD" w:rsidR="00191023" w:rsidRDefault="00191023" w:rsidP="00B57DE8">
      <w:pPr>
        <w:widowControl w:val="0"/>
        <w:autoSpaceDE w:val="0"/>
        <w:autoSpaceDN w:val="0"/>
        <w:adjustRightInd w:val="0"/>
        <w:spacing w:after="60" w:line="240" w:lineRule="auto"/>
        <w:jc w:val="both"/>
        <w:rPr>
          <w:b/>
          <w:bCs/>
          <w:color w:val="000000"/>
          <w:w w:val="102"/>
          <w:szCs w:val="20"/>
        </w:rPr>
      </w:pPr>
    </w:p>
    <w:p w14:paraId="50343650" w14:textId="77777777" w:rsidR="00191023" w:rsidRPr="00B57DE8" w:rsidRDefault="00191023" w:rsidP="00B57DE8">
      <w:pPr>
        <w:widowControl w:val="0"/>
        <w:autoSpaceDE w:val="0"/>
        <w:autoSpaceDN w:val="0"/>
        <w:adjustRightInd w:val="0"/>
        <w:spacing w:after="60" w:line="240" w:lineRule="auto"/>
        <w:jc w:val="both"/>
        <w:rPr>
          <w:b/>
          <w:bCs/>
          <w:color w:val="000000"/>
          <w:w w:val="102"/>
          <w:szCs w:val="20"/>
        </w:rPr>
      </w:pPr>
    </w:p>
    <w:p w14:paraId="1878A586" w14:textId="77777777" w:rsidR="00A3278C" w:rsidRPr="00D6763D" w:rsidRDefault="00A3278C" w:rsidP="008F7F1D">
      <w:pPr>
        <w:pStyle w:val="ListParagraph"/>
        <w:spacing w:after="0" w:line="240" w:lineRule="auto"/>
        <w:ind w:left="426" w:hanging="426"/>
        <w:contextualSpacing/>
        <w:jc w:val="both"/>
        <w:rPr>
          <w:b/>
          <w:i/>
          <w:vanish/>
          <w:szCs w:val="20"/>
          <w:lang w:val="en-US" w:eastAsia="en-US"/>
        </w:rPr>
      </w:pPr>
    </w:p>
    <w:sectPr w:rsidR="00A3278C" w:rsidRPr="00D6763D" w:rsidSect="00E620BB">
      <w:type w:val="continuous"/>
      <w:pgSz w:w="11906" w:h="16838"/>
      <w:pgMar w:top="1985" w:right="1134" w:bottom="1134" w:left="1701" w:header="284" w:footer="709"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917E" w14:textId="77777777" w:rsidR="009B054C" w:rsidRDefault="009B054C" w:rsidP="005F1AE9">
      <w:pPr>
        <w:spacing w:after="0" w:line="240" w:lineRule="auto"/>
      </w:pPr>
      <w:r>
        <w:separator/>
      </w:r>
    </w:p>
  </w:endnote>
  <w:endnote w:type="continuationSeparator" w:id="0">
    <w:p w14:paraId="5D9D0DF8" w14:textId="77777777" w:rsidR="009B054C" w:rsidRDefault="009B054C" w:rsidP="005F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02DC" w14:textId="77777777" w:rsidR="009B054C" w:rsidRDefault="009B054C" w:rsidP="005F1AE9">
      <w:pPr>
        <w:spacing w:after="0" w:line="240" w:lineRule="auto"/>
      </w:pPr>
      <w:r>
        <w:separator/>
      </w:r>
    </w:p>
  </w:footnote>
  <w:footnote w:type="continuationSeparator" w:id="0">
    <w:p w14:paraId="51B6159E" w14:textId="77777777" w:rsidR="009B054C" w:rsidRDefault="009B054C" w:rsidP="005F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82804"/>
      <w:docPartObj>
        <w:docPartGallery w:val="Page Numbers (Top of Page)"/>
        <w:docPartUnique/>
      </w:docPartObj>
    </w:sdtPr>
    <w:sdtEndPr>
      <w:rPr>
        <w:noProof/>
      </w:rPr>
    </w:sdtEndPr>
    <w:sdtContent>
      <w:p w14:paraId="1E22770F" w14:textId="18945FAD" w:rsidR="00E13F01" w:rsidRDefault="00E13F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3FC7C6" w14:textId="77777777" w:rsidR="006B7808" w:rsidRPr="00C93157" w:rsidRDefault="006B7808" w:rsidP="000A6A5B">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5159"/>
      <w:docPartObj>
        <w:docPartGallery w:val="Page Numbers (Top of Page)"/>
        <w:docPartUnique/>
      </w:docPartObj>
    </w:sdtPr>
    <w:sdtEndPr>
      <w:rPr>
        <w:noProof/>
      </w:rPr>
    </w:sdtEndPr>
    <w:sdtContent>
      <w:p w14:paraId="31A7E06D" w14:textId="24203CBA" w:rsidR="00E13F01" w:rsidRDefault="00E13F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5367C4" w14:textId="77777777" w:rsidR="006B7808" w:rsidRPr="00E02D7F" w:rsidRDefault="006B7808" w:rsidP="00E02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213"/>
    <w:multiLevelType w:val="hybridMultilevel"/>
    <w:tmpl w:val="BDA6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48F8"/>
    <w:multiLevelType w:val="hybridMultilevel"/>
    <w:tmpl w:val="1E2E336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BB6B38"/>
    <w:multiLevelType w:val="hybridMultilevel"/>
    <w:tmpl w:val="5F4EBBE0"/>
    <w:lvl w:ilvl="0" w:tplc="BCE40342">
      <w:start w:val="1"/>
      <w:numFmt w:val="lowerLetter"/>
      <w:lvlText w:val="%1."/>
      <w:lvlJc w:val="left"/>
      <w:pPr>
        <w:ind w:left="720" w:hanging="360"/>
      </w:pPr>
      <w:rPr>
        <w:rFonts w:ascii="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C40987"/>
    <w:multiLevelType w:val="hybridMultilevel"/>
    <w:tmpl w:val="7CF092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23F25E8"/>
    <w:multiLevelType w:val="multilevel"/>
    <w:tmpl w:val="C852A2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2B43C79"/>
    <w:multiLevelType w:val="hybridMultilevel"/>
    <w:tmpl w:val="A838FC80"/>
    <w:lvl w:ilvl="0" w:tplc="3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02F48"/>
    <w:multiLevelType w:val="multilevel"/>
    <w:tmpl w:val="FAA64AE4"/>
    <w:lvl w:ilvl="0">
      <w:start w:val="1"/>
      <w:numFmt w:val="decimal"/>
      <w:lvlText w:val="%1."/>
      <w:lvlJc w:val="left"/>
      <w:pPr>
        <w:ind w:left="360" w:hanging="360"/>
      </w:pPr>
    </w:lvl>
    <w:lvl w:ilvl="1">
      <w:start w:val="1"/>
      <w:numFmt w:val="decimal"/>
      <w:lvlText w:val="%1.%2."/>
      <w:lvlJc w:val="left"/>
      <w:pPr>
        <w:ind w:left="79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25C8D"/>
    <w:multiLevelType w:val="multilevel"/>
    <w:tmpl w:val="A01C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8466C8B"/>
    <w:multiLevelType w:val="hybridMultilevel"/>
    <w:tmpl w:val="1D8E45C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201CF3"/>
    <w:multiLevelType w:val="hybridMultilevel"/>
    <w:tmpl w:val="98EC10D6"/>
    <w:styleLink w:val="Bernomor"/>
    <w:lvl w:ilvl="0" w:tplc="2EA4B802">
      <w:start w:val="1"/>
      <w:numFmt w:val="decimal"/>
      <w:lvlText w:val="%1."/>
      <w:lvlJc w:val="left"/>
      <w:pPr>
        <w:ind w:left="2115"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BC5F0E">
      <w:start w:val="1"/>
      <w:numFmt w:val="decimal"/>
      <w:lvlText w:val="%2."/>
      <w:lvlJc w:val="left"/>
      <w:pPr>
        <w:ind w:left="221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DFEFFE8">
      <w:start w:val="1"/>
      <w:numFmt w:val="decimal"/>
      <w:lvlText w:val="%3."/>
      <w:lvlJc w:val="left"/>
      <w:pPr>
        <w:ind w:left="243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EF9B6">
      <w:start w:val="1"/>
      <w:numFmt w:val="decimal"/>
      <w:lvlText w:val="%4."/>
      <w:lvlJc w:val="left"/>
      <w:pPr>
        <w:ind w:left="265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74ACF42">
      <w:start w:val="1"/>
      <w:numFmt w:val="decimal"/>
      <w:lvlText w:val="%5."/>
      <w:lvlJc w:val="left"/>
      <w:pPr>
        <w:ind w:left="287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6467B40">
      <w:start w:val="1"/>
      <w:numFmt w:val="decimal"/>
      <w:lvlText w:val="%6."/>
      <w:lvlJc w:val="left"/>
      <w:pPr>
        <w:ind w:left="309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77A3734">
      <w:start w:val="1"/>
      <w:numFmt w:val="decimal"/>
      <w:lvlText w:val="%7."/>
      <w:lvlJc w:val="left"/>
      <w:pPr>
        <w:ind w:left="331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D07836">
      <w:start w:val="1"/>
      <w:numFmt w:val="decimal"/>
      <w:lvlText w:val="%8."/>
      <w:lvlJc w:val="left"/>
      <w:pPr>
        <w:ind w:left="353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B9664FC">
      <w:start w:val="1"/>
      <w:numFmt w:val="decimal"/>
      <w:lvlText w:val="%9."/>
      <w:lvlJc w:val="left"/>
      <w:pPr>
        <w:ind w:left="3750"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1D450F24"/>
    <w:multiLevelType w:val="multilevel"/>
    <w:tmpl w:val="2ABAADA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D48090A"/>
    <w:multiLevelType w:val="hybridMultilevel"/>
    <w:tmpl w:val="1EB8B8D6"/>
    <w:lvl w:ilvl="0" w:tplc="53DEC2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1FC911EB"/>
    <w:multiLevelType w:val="hybridMultilevel"/>
    <w:tmpl w:val="D07A85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1E5820"/>
    <w:multiLevelType w:val="multilevel"/>
    <w:tmpl w:val="737E419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169FE"/>
    <w:multiLevelType w:val="hybridMultilevel"/>
    <w:tmpl w:val="E2D0E36A"/>
    <w:lvl w:ilvl="0" w:tplc="E28E0D04">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877AE"/>
    <w:multiLevelType w:val="hybridMultilevel"/>
    <w:tmpl w:val="56E051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256FF4"/>
    <w:multiLevelType w:val="hybridMultilevel"/>
    <w:tmpl w:val="4176D93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8C51F7"/>
    <w:multiLevelType w:val="hybridMultilevel"/>
    <w:tmpl w:val="39224614"/>
    <w:lvl w:ilvl="0" w:tplc="E9EED05E">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D206E09"/>
    <w:multiLevelType w:val="hybridMultilevel"/>
    <w:tmpl w:val="77047A02"/>
    <w:lvl w:ilvl="0" w:tplc="50D2FA36">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54246"/>
    <w:multiLevelType w:val="hybridMultilevel"/>
    <w:tmpl w:val="A838FC80"/>
    <w:lvl w:ilvl="0" w:tplc="3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8B168C"/>
    <w:multiLevelType w:val="hybridMultilevel"/>
    <w:tmpl w:val="1E2E336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7E9254C"/>
    <w:multiLevelType w:val="hybridMultilevel"/>
    <w:tmpl w:val="39A6E88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8887C85"/>
    <w:multiLevelType w:val="hybridMultilevel"/>
    <w:tmpl w:val="CFA2FBC4"/>
    <w:lvl w:ilvl="0" w:tplc="1AF6A0B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C36D0"/>
    <w:multiLevelType w:val="hybridMultilevel"/>
    <w:tmpl w:val="F80442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09138DA"/>
    <w:multiLevelType w:val="hybridMultilevel"/>
    <w:tmpl w:val="92FEC4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013774"/>
    <w:multiLevelType w:val="hybridMultilevel"/>
    <w:tmpl w:val="1D8E45C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234B05"/>
    <w:multiLevelType w:val="multilevel"/>
    <w:tmpl w:val="740EA988"/>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bCs/>
        <w:i/>
        <w:i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EE3604"/>
    <w:multiLevelType w:val="multilevel"/>
    <w:tmpl w:val="56B4A93A"/>
    <w:lvl w:ilvl="0">
      <w:start w:val="1"/>
      <w:numFmt w:val="decimal"/>
      <w:lvlText w:val="%1."/>
      <w:lvlJc w:val="left"/>
      <w:pPr>
        <w:ind w:left="360" w:hanging="360"/>
      </w:pPr>
    </w:lvl>
    <w:lvl w:ilvl="1">
      <w:start w:val="1"/>
      <w:numFmt w:val="decimal"/>
      <w:lvlText w:val="%1.%2."/>
      <w:lvlJc w:val="left"/>
      <w:pPr>
        <w:ind w:left="792" w:hanging="432"/>
      </w:pPr>
      <w:rPr>
        <w:b/>
        <w:i/>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10548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403F69"/>
    <w:multiLevelType w:val="multilevel"/>
    <w:tmpl w:val="C008A41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4117D9"/>
    <w:multiLevelType w:val="multilevel"/>
    <w:tmpl w:val="362820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12061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09637C"/>
    <w:multiLevelType w:val="hybridMultilevel"/>
    <w:tmpl w:val="F6F8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20EA3"/>
    <w:multiLevelType w:val="hybridMultilevel"/>
    <w:tmpl w:val="C09A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457A7"/>
    <w:multiLevelType w:val="hybridMultilevel"/>
    <w:tmpl w:val="DB04CFB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12F5A5B"/>
    <w:multiLevelType w:val="hybridMultilevel"/>
    <w:tmpl w:val="4D80791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4AC4A28"/>
    <w:multiLevelType w:val="hybridMultilevel"/>
    <w:tmpl w:val="1E2E336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4DC7F33"/>
    <w:multiLevelType w:val="hybridMultilevel"/>
    <w:tmpl w:val="5DD29F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5B02675"/>
    <w:multiLevelType w:val="hybridMultilevel"/>
    <w:tmpl w:val="3738D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63BF7"/>
    <w:multiLevelType w:val="multilevel"/>
    <w:tmpl w:val="19E4C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8904760">
    <w:abstractNumId w:val="13"/>
  </w:num>
  <w:num w:numId="2" w16cid:durableId="1565023813">
    <w:abstractNumId w:val="27"/>
  </w:num>
  <w:num w:numId="3" w16cid:durableId="71855444">
    <w:abstractNumId w:val="12"/>
  </w:num>
  <w:num w:numId="4" w16cid:durableId="801339603">
    <w:abstractNumId w:val="3"/>
  </w:num>
  <w:num w:numId="5" w16cid:durableId="983239162">
    <w:abstractNumId w:val="23"/>
  </w:num>
  <w:num w:numId="6" w16cid:durableId="1182470766">
    <w:abstractNumId w:val="16"/>
  </w:num>
  <w:num w:numId="7" w16cid:durableId="375860855">
    <w:abstractNumId w:val="15"/>
  </w:num>
  <w:num w:numId="8" w16cid:durableId="998576977">
    <w:abstractNumId w:val="9"/>
  </w:num>
  <w:num w:numId="9" w16cid:durableId="1490905081">
    <w:abstractNumId w:val="35"/>
  </w:num>
  <w:num w:numId="10" w16cid:durableId="1518885322">
    <w:abstractNumId w:val="6"/>
  </w:num>
  <w:num w:numId="11" w16cid:durableId="919602670">
    <w:abstractNumId w:val="28"/>
  </w:num>
  <w:num w:numId="12" w16cid:durableId="1885942003">
    <w:abstractNumId w:val="21"/>
  </w:num>
  <w:num w:numId="13" w16cid:durableId="104741288">
    <w:abstractNumId w:val="24"/>
  </w:num>
  <w:num w:numId="14" w16cid:durableId="757603590">
    <w:abstractNumId w:val="18"/>
  </w:num>
  <w:num w:numId="15" w16cid:durableId="880484367">
    <w:abstractNumId w:val="37"/>
  </w:num>
  <w:num w:numId="16" w16cid:durableId="76946460">
    <w:abstractNumId w:val="25"/>
  </w:num>
  <w:num w:numId="17" w16cid:durableId="1047873799">
    <w:abstractNumId w:val="33"/>
  </w:num>
  <w:num w:numId="18" w16cid:durableId="1664700547">
    <w:abstractNumId w:val="8"/>
  </w:num>
  <w:num w:numId="19" w16cid:durableId="1882085503">
    <w:abstractNumId w:val="11"/>
  </w:num>
  <w:num w:numId="20" w16cid:durableId="656349910">
    <w:abstractNumId w:val="34"/>
  </w:num>
  <w:num w:numId="21" w16cid:durableId="1011377077">
    <w:abstractNumId w:val="22"/>
  </w:num>
  <w:num w:numId="22" w16cid:durableId="2138913641">
    <w:abstractNumId w:val="32"/>
  </w:num>
  <w:num w:numId="23" w16cid:durableId="377318585">
    <w:abstractNumId w:val="19"/>
  </w:num>
  <w:num w:numId="24" w16cid:durableId="1702124221">
    <w:abstractNumId w:val="31"/>
  </w:num>
  <w:num w:numId="25" w16cid:durableId="1785231142">
    <w:abstractNumId w:val="20"/>
  </w:num>
  <w:num w:numId="26" w16cid:durableId="57678040">
    <w:abstractNumId w:val="5"/>
  </w:num>
  <w:num w:numId="27" w16cid:durableId="1328632508">
    <w:abstractNumId w:val="14"/>
  </w:num>
  <w:num w:numId="28" w16cid:durableId="633874092">
    <w:abstractNumId w:val="39"/>
  </w:num>
  <w:num w:numId="29" w16cid:durableId="1244489619">
    <w:abstractNumId w:val="36"/>
  </w:num>
  <w:num w:numId="30" w16cid:durableId="819267079">
    <w:abstractNumId w:val="1"/>
  </w:num>
  <w:num w:numId="31" w16cid:durableId="703823264">
    <w:abstractNumId w:val="26"/>
  </w:num>
  <w:num w:numId="32" w16cid:durableId="2072539615">
    <w:abstractNumId w:val="4"/>
  </w:num>
  <w:num w:numId="33" w16cid:durableId="441341802">
    <w:abstractNumId w:val="29"/>
  </w:num>
  <w:num w:numId="34" w16cid:durableId="714935238">
    <w:abstractNumId w:val="38"/>
  </w:num>
  <w:num w:numId="35" w16cid:durableId="1060834926">
    <w:abstractNumId w:val="10"/>
  </w:num>
  <w:num w:numId="36" w16cid:durableId="1274094086">
    <w:abstractNumId w:val="17"/>
  </w:num>
  <w:num w:numId="37" w16cid:durableId="1861818369">
    <w:abstractNumId w:val="2"/>
  </w:num>
  <w:num w:numId="38" w16cid:durableId="1711607138">
    <w:abstractNumId w:val="30"/>
  </w:num>
  <w:num w:numId="39" w16cid:durableId="2102488418">
    <w:abstractNumId w:val="0"/>
  </w:num>
  <w:num w:numId="40" w16cid:durableId="112257229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proofState w:grammar="clean"/>
  <w:defaultTabStop w:val="720"/>
  <w:evenAndOddHeaders/>
  <w:drawingGridHorizontalSpacing w:val="113"/>
  <w:drawingGridVerticalSpacing w:val="11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1D"/>
    <w:rsid w:val="00000B30"/>
    <w:rsid w:val="0000398B"/>
    <w:rsid w:val="00003F2E"/>
    <w:rsid w:val="0000429D"/>
    <w:rsid w:val="0000438B"/>
    <w:rsid w:val="00005BF2"/>
    <w:rsid w:val="00006051"/>
    <w:rsid w:val="000062BF"/>
    <w:rsid w:val="00006BC4"/>
    <w:rsid w:val="00006C13"/>
    <w:rsid w:val="000079CA"/>
    <w:rsid w:val="00007E6A"/>
    <w:rsid w:val="0001190E"/>
    <w:rsid w:val="000119A8"/>
    <w:rsid w:val="00012CFA"/>
    <w:rsid w:val="00017AE2"/>
    <w:rsid w:val="000213A6"/>
    <w:rsid w:val="00023279"/>
    <w:rsid w:val="00023682"/>
    <w:rsid w:val="00025E8A"/>
    <w:rsid w:val="00026AD2"/>
    <w:rsid w:val="00027D84"/>
    <w:rsid w:val="0003034A"/>
    <w:rsid w:val="00031B0C"/>
    <w:rsid w:val="00031B75"/>
    <w:rsid w:val="00033A89"/>
    <w:rsid w:val="0003410B"/>
    <w:rsid w:val="000352AD"/>
    <w:rsid w:val="00035EFB"/>
    <w:rsid w:val="000369B8"/>
    <w:rsid w:val="00036BBD"/>
    <w:rsid w:val="0004208B"/>
    <w:rsid w:val="00042926"/>
    <w:rsid w:val="00042B12"/>
    <w:rsid w:val="00043F2E"/>
    <w:rsid w:val="000456E6"/>
    <w:rsid w:val="000458BA"/>
    <w:rsid w:val="00046579"/>
    <w:rsid w:val="000466C0"/>
    <w:rsid w:val="000472BD"/>
    <w:rsid w:val="000510BB"/>
    <w:rsid w:val="00051A48"/>
    <w:rsid w:val="00051C44"/>
    <w:rsid w:val="00055DDC"/>
    <w:rsid w:val="00056775"/>
    <w:rsid w:val="00060268"/>
    <w:rsid w:val="00063EC1"/>
    <w:rsid w:val="00064650"/>
    <w:rsid w:val="00064CA1"/>
    <w:rsid w:val="00067569"/>
    <w:rsid w:val="00070DDD"/>
    <w:rsid w:val="00071CBC"/>
    <w:rsid w:val="00072F15"/>
    <w:rsid w:val="00073FA2"/>
    <w:rsid w:val="00075D15"/>
    <w:rsid w:val="00076923"/>
    <w:rsid w:val="00076D31"/>
    <w:rsid w:val="000814B8"/>
    <w:rsid w:val="000819CA"/>
    <w:rsid w:val="000826F5"/>
    <w:rsid w:val="00082B8F"/>
    <w:rsid w:val="00082C15"/>
    <w:rsid w:val="00083111"/>
    <w:rsid w:val="00083C7D"/>
    <w:rsid w:val="000848E7"/>
    <w:rsid w:val="00084BEA"/>
    <w:rsid w:val="000851C1"/>
    <w:rsid w:val="0008680C"/>
    <w:rsid w:val="00086FB4"/>
    <w:rsid w:val="00092406"/>
    <w:rsid w:val="00095550"/>
    <w:rsid w:val="00097DD5"/>
    <w:rsid w:val="000A144E"/>
    <w:rsid w:val="000A14B3"/>
    <w:rsid w:val="000A288C"/>
    <w:rsid w:val="000A425C"/>
    <w:rsid w:val="000A472C"/>
    <w:rsid w:val="000A5019"/>
    <w:rsid w:val="000A6785"/>
    <w:rsid w:val="000A6A5B"/>
    <w:rsid w:val="000A6B15"/>
    <w:rsid w:val="000A7745"/>
    <w:rsid w:val="000B0E56"/>
    <w:rsid w:val="000B1950"/>
    <w:rsid w:val="000B3551"/>
    <w:rsid w:val="000B3568"/>
    <w:rsid w:val="000B5CE0"/>
    <w:rsid w:val="000B5EE7"/>
    <w:rsid w:val="000B60EA"/>
    <w:rsid w:val="000B663E"/>
    <w:rsid w:val="000C2541"/>
    <w:rsid w:val="000C29C9"/>
    <w:rsid w:val="000C2B1F"/>
    <w:rsid w:val="000C3371"/>
    <w:rsid w:val="000C6448"/>
    <w:rsid w:val="000C6751"/>
    <w:rsid w:val="000D2207"/>
    <w:rsid w:val="000D51B1"/>
    <w:rsid w:val="000D5230"/>
    <w:rsid w:val="000D637C"/>
    <w:rsid w:val="000D6908"/>
    <w:rsid w:val="000D6E26"/>
    <w:rsid w:val="000D7CCA"/>
    <w:rsid w:val="000E3BC7"/>
    <w:rsid w:val="000E4EB5"/>
    <w:rsid w:val="000E5E95"/>
    <w:rsid w:val="000E74A9"/>
    <w:rsid w:val="000E7771"/>
    <w:rsid w:val="000F005C"/>
    <w:rsid w:val="000F0A5E"/>
    <w:rsid w:val="000F1103"/>
    <w:rsid w:val="000F28D2"/>
    <w:rsid w:val="000F433B"/>
    <w:rsid w:val="000F47DE"/>
    <w:rsid w:val="000F4E9C"/>
    <w:rsid w:val="000F6970"/>
    <w:rsid w:val="000F7325"/>
    <w:rsid w:val="000F7ACC"/>
    <w:rsid w:val="00107010"/>
    <w:rsid w:val="0011046C"/>
    <w:rsid w:val="00111505"/>
    <w:rsid w:val="001138A2"/>
    <w:rsid w:val="00113ED3"/>
    <w:rsid w:val="00114737"/>
    <w:rsid w:val="0011535E"/>
    <w:rsid w:val="00115FBD"/>
    <w:rsid w:val="00120683"/>
    <w:rsid w:val="00120F71"/>
    <w:rsid w:val="00121385"/>
    <w:rsid w:val="00121FD3"/>
    <w:rsid w:val="00122388"/>
    <w:rsid w:val="00122647"/>
    <w:rsid w:val="0012354F"/>
    <w:rsid w:val="00125229"/>
    <w:rsid w:val="0012656E"/>
    <w:rsid w:val="001268BE"/>
    <w:rsid w:val="00126AD7"/>
    <w:rsid w:val="00130788"/>
    <w:rsid w:val="0013456E"/>
    <w:rsid w:val="00134D2F"/>
    <w:rsid w:val="00135D45"/>
    <w:rsid w:val="00136315"/>
    <w:rsid w:val="001367EC"/>
    <w:rsid w:val="00137474"/>
    <w:rsid w:val="00137771"/>
    <w:rsid w:val="001402C0"/>
    <w:rsid w:val="00140803"/>
    <w:rsid w:val="00140ECC"/>
    <w:rsid w:val="001416E7"/>
    <w:rsid w:val="00141AB0"/>
    <w:rsid w:val="00141F73"/>
    <w:rsid w:val="001424A6"/>
    <w:rsid w:val="0014322E"/>
    <w:rsid w:val="00145F1A"/>
    <w:rsid w:val="001472EF"/>
    <w:rsid w:val="00147603"/>
    <w:rsid w:val="00154C4F"/>
    <w:rsid w:val="00160A0A"/>
    <w:rsid w:val="00161623"/>
    <w:rsid w:val="00161D64"/>
    <w:rsid w:val="001634DA"/>
    <w:rsid w:val="00163E74"/>
    <w:rsid w:val="00164536"/>
    <w:rsid w:val="001649C9"/>
    <w:rsid w:val="00164A81"/>
    <w:rsid w:val="00165C3C"/>
    <w:rsid w:val="00167724"/>
    <w:rsid w:val="00171272"/>
    <w:rsid w:val="00171C8F"/>
    <w:rsid w:val="00173832"/>
    <w:rsid w:val="0017455E"/>
    <w:rsid w:val="00177D8E"/>
    <w:rsid w:val="00177F43"/>
    <w:rsid w:val="001807D3"/>
    <w:rsid w:val="001817CB"/>
    <w:rsid w:val="00182E1E"/>
    <w:rsid w:val="0018335A"/>
    <w:rsid w:val="00186188"/>
    <w:rsid w:val="00186CA0"/>
    <w:rsid w:val="00187F82"/>
    <w:rsid w:val="001907A8"/>
    <w:rsid w:val="00191023"/>
    <w:rsid w:val="0019199B"/>
    <w:rsid w:val="00193189"/>
    <w:rsid w:val="00195718"/>
    <w:rsid w:val="00196CFC"/>
    <w:rsid w:val="00197718"/>
    <w:rsid w:val="00197817"/>
    <w:rsid w:val="001A0496"/>
    <w:rsid w:val="001A21C9"/>
    <w:rsid w:val="001A2FDE"/>
    <w:rsid w:val="001A32D7"/>
    <w:rsid w:val="001A34E8"/>
    <w:rsid w:val="001A395E"/>
    <w:rsid w:val="001A49CE"/>
    <w:rsid w:val="001A5B17"/>
    <w:rsid w:val="001A67E6"/>
    <w:rsid w:val="001A725B"/>
    <w:rsid w:val="001A7BCE"/>
    <w:rsid w:val="001B0368"/>
    <w:rsid w:val="001B1604"/>
    <w:rsid w:val="001B1A1E"/>
    <w:rsid w:val="001B57F0"/>
    <w:rsid w:val="001B7235"/>
    <w:rsid w:val="001C04FB"/>
    <w:rsid w:val="001C2045"/>
    <w:rsid w:val="001C360B"/>
    <w:rsid w:val="001C385A"/>
    <w:rsid w:val="001C50EB"/>
    <w:rsid w:val="001D0A67"/>
    <w:rsid w:val="001D10B4"/>
    <w:rsid w:val="001D1D67"/>
    <w:rsid w:val="001D37C5"/>
    <w:rsid w:val="001D546E"/>
    <w:rsid w:val="001E0AC5"/>
    <w:rsid w:val="001E3374"/>
    <w:rsid w:val="001E57A3"/>
    <w:rsid w:val="001E6962"/>
    <w:rsid w:val="001F1614"/>
    <w:rsid w:val="001F437C"/>
    <w:rsid w:val="001F6DD7"/>
    <w:rsid w:val="001F7D2B"/>
    <w:rsid w:val="0020024C"/>
    <w:rsid w:val="002006D6"/>
    <w:rsid w:val="00203428"/>
    <w:rsid w:val="00203586"/>
    <w:rsid w:val="00204BC2"/>
    <w:rsid w:val="00205623"/>
    <w:rsid w:val="00207DA1"/>
    <w:rsid w:val="002114ED"/>
    <w:rsid w:val="00212419"/>
    <w:rsid w:val="00212FF3"/>
    <w:rsid w:val="00213181"/>
    <w:rsid w:val="0021387F"/>
    <w:rsid w:val="00213A81"/>
    <w:rsid w:val="002161AB"/>
    <w:rsid w:val="00217481"/>
    <w:rsid w:val="00220E7B"/>
    <w:rsid w:val="00222A58"/>
    <w:rsid w:val="002233B0"/>
    <w:rsid w:val="002262FB"/>
    <w:rsid w:val="00227E3D"/>
    <w:rsid w:val="00227E8B"/>
    <w:rsid w:val="002304C6"/>
    <w:rsid w:val="00230BFC"/>
    <w:rsid w:val="00230F66"/>
    <w:rsid w:val="00232B24"/>
    <w:rsid w:val="00237399"/>
    <w:rsid w:val="0023753A"/>
    <w:rsid w:val="0024006B"/>
    <w:rsid w:val="0024122B"/>
    <w:rsid w:val="0024157E"/>
    <w:rsid w:val="0024238D"/>
    <w:rsid w:val="00244123"/>
    <w:rsid w:val="002446DB"/>
    <w:rsid w:val="00244706"/>
    <w:rsid w:val="00246650"/>
    <w:rsid w:val="002518A0"/>
    <w:rsid w:val="00253BC4"/>
    <w:rsid w:val="00256A21"/>
    <w:rsid w:val="00257C0E"/>
    <w:rsid w:val="00257DE6"/>
    <w:rsid w:val="002607FA"/>
    <w:rsid w:val="00262190"/>
    <w:rsid w:val="002630E3"/>
    <w:rsid w:val="002632C1"/>
    <w:rsid w:val="002651F1"/>
    <w:rsid w:val="002664E4"/>
    <w:rsid w:val="00267333"/>
    <w:rsid w:val="00270D39"/>
    <w:rsid w:val="00271E6B"/>
    <w:rsid w:val="00271ED3"/>
    <w:rsid w:val="00272429"/>
    <w:rsid w:val="002751AD"/>
    <w:rsid w:val="002754F6"/>
    <w:rsid w:val="00276DF2"/>
    <w:rsid w:val="00280CE0"/>
    <w:rsid w:val="00280DE3"/>
    <w:rsid w:val="002810A6"/>
    <w:rsid w:val="0028352B"/>
    <w:rsid w:val="00285C5D"/>
    <w:rsid w:val="00286E89"/>
    <w:rsid w:val="00287335"/>
    <w:rsid w:val="00291582"/>
    <w:rsid w:val="002917A3"/>
    <w:rsid w:val="002923E2"/>
    <w:rsid w:val="00292AA8"/>
    <w:rsid w:val="00293556"/>
    <w:rsid w:val="00293E28"/>
    <w:rsid w:val="00296CEC"/>
    <w:rsid w:val="002A0BBA"/>
    <w:rsid w:val="002A12A7"/>
    <w:rsid w:val="002A64FE"/>
    <w:rsid w:val="002A68B6"/>
    <w:rsid w:val="002A799C"/>
    <w:rsid w:val="002B0D1D"/>
    <w:rsid w:val="002B0DAC"/>
    <w:rsid w:val="002B1618"/>
    <w:rsid w:val="002B1916"/>
    <w:rsid w:val="002B1A2C"/>
    <w:rsid w:val="002B4539"/>
    <w:rsid w:val="002B464D"/>
    <w:rsid w:val="002B4CA3"/>
    <w:rsid w:val="002B528A"/>
    <w:rsid w:val="002B5A4D"/>
    <w:rsid w:val="002B5CAD"/>
    <w:rsid w:val="002B74F1"/>
    <w:rsid w:val="002B76A4"/>
    <w:rsid w:val="002C0151"/>
    <w:rsid w:val="002C0D06"/>
    <w:rsid w:val="002C29B8"/>
    <w:rsid w:val="002C4D3D"/>
    <w:rsid w:val="002D11B5"/>
    <w:rsid w:val="002D1D5B"/>
    <w:rsid w:val="002D32DB"/>
    <w:rsid w:val="002D3EF2"/>
    <w:rsid w:val="002D5D40"/>
    <w:rsid w:val="002D6341"/>
    <w:rsid w:val="002D6BB2"/>
    <w:rsid w:val="002E36F4"/>
    <w:rsid w:val="002E66A7"/>
    <w:rsid w:val="002E7D39"/>
    <w:rsid w:val="002F06DF"/>
    <w:rsid w:val="002F2D62"/>
    <w:rsid w:val="002F3F1E"/>
    <w:rsid w:val="002F561A"/>
    <w:rsid w:val="002F5851"/>
    <w:rsid w:val="002F7454"/>
    <w:rsid w:val="0030027C"/>
    <w:rsid w:val="00300388"/>
    <w:rsid w:val="003019A8"/>
    <w:rsid w:val="00301B90"/>
    <w:rsid w:val="00303CB2"/>
    <w:rsid w:val="00304A67"/>
    <w:rsid w:val="00305432"/>
    <w:rsid w:val="003074F5"/>
    <w:rsid w:val="0030776B"/>
    <w:rsid w:val="0031240B"/>
    <w:rsid w:val="00312971"/>
    <w:rsid w:val="00313A91"/>
    <w:rsid w:val="00313F22"/>
    <w:rsid w:val="0031407C"/>
    <w:rsid w:val="00314AE0"/>
    <w:rsid w:val="00315795"/>
    <w:rsid w:val="003161D1"/>
    <w:rsid w:val="003163E1"/>
    <w:rsid w:val="003210A2"/>
    <w:rsid w:val="0032364A"/>
    <w:rsid w:val="0032405A"/>
    <w:rsid w:val="0032491D"/>
    <w:rsid w:val="003255A8"/>
    <w:rsid w:val="00325EDA"/>
    <w:rsid w:val="00326798"/>
    <w:rsid w:val="00326A7F"/>
    <w:rsid w:val="0032768E"/>
    <w:rsid w:val="00331343"/>
    <w:rsid w:val="003321CD"/>
    <w:rsid w:val="003349D8"/>
    <w:rsid w:val="003360E8"/>
    <w:rsid w:val="00336FDE"/>
    <w:rsid w:val="00337A85"/>
    <w:rsid w:val="00342083"/>
    <w:rsid w:val="00342891"/>
    <w:rsid w:val="00344B67"/>
    <w:rsid w:val="003500B6"/>
    <w:rsid w:val="00350E7B"/>
    <w:rsid w:val="00351E9B"/>
    <w:rsid w:val="0035321E"/>
    <w:rsid w:val="0035489B"/>
    <w:rsid w:val="00354CB9"/>
    <w:rsid w:val="003552C5"/>
    <w:rsid w:val="00356055"/>
    <w:rsid w:val="003560A3"/>
    <w:rsid w:val="00360FD2"/>
    <w:rsid w:val="00362D9A"/>
    <w:rsid w:val="003704F1"/>
    <w:rsid w:val="0037076B"/>
    <w:rsid w:val="00370DED"/>
    <w:rsid w:val="00371F55"/>
    <w:rsid w:val="00372645"/>
    <w:rsid w:val="00372A98"/>
    <w:rsid w:val="00372EBA"/>
    <w:rsid w:val="003748E6"/>
    <w:rsid w:val="00375B86"/>
    <w:rsid w:val="00375C39"/>
    <w:rsid w:val="00376751"/>
    <w:rsid w:val="00376BBC"/>
    <w:rsid w:val="00377E74"/>
    <w:rsid w:val="00383329"/>
    <w:rsid w:val="003833DF"/>
    <w:rsid w:val="00385152"/>
    <w:rsid w:val="0039056D"/>
    <w:rsid w:val="00390DFE"/>
    <w:rsid w:val="00390EC4"/>
    <w:rsid w:val="003913E9"/>
    <w:rsid w:val="003921DA"/>
    <w:rsid w:val="00392FD9"/>
    <w:rsid w:val="003930D5"/>
    <w:rsid w:val="00393CC1"/>
    <w:rsid w:val="0039585C"/>
    <w:rsid w:val="003A03BB"/>
    <w:rsid w:val="003A0712"/>
    <w:rsid w:val="003A07F6"/>
    <w:rsid w:val="003A0B00"/>
    <w:rsid w:val="003A43BB"/>
    <w:rsid w:val="003B0301"/>
    <w:rsid w:val="003B08F0"/>
    <w:rsid w:val="003B1681"/>
    <w:rsid w:val="003B31B8"/>
    <w:rsid w:val="003B6004"/>
    <w:rsid w:val="003B6BD5"/>
    <w:rsid w:val="003B79A0"/>
    <w:rsid w:val="003C032F"/>
    <w:rsid w:val="003C15E6"/>
    <w:rsid w:val="003C4F0B"/>
    <w:rsid w:val="003C5F3A"/>
    <w:rsid w:val="003C72B5"/>
    <w:rsid w:val="003C7AF1"/>
    <w:rsid w:val="003D19AF"/>
    <w:rsid w:val="003D1B09"/>
    <w:rsid w:val="003D3079"/>
    <w:rsid w:val="003D399D"/>
    <w:rsid w:val="003D5015"/>
    <w:rsid w:val="003D6FE5"/>
    <w:rsid w:val="003E06EB"/>
    <w:rsid w:val="003E08CF"/>
    <w:rsid w:val="003E22AF"/>
    <w:rsid w:val="003E2C6A"/>
    <w:rsid w:val="003E3303"/>
    <w:rsid w:val="003E35F6"/>
    <w:rsid w:val="003E45D0"/>
    <w:rsid w:val="003E598A"/>
    <w:rsid w:val="003E7F51"/>
    <w:rsid w:val="003F195B"/>
    <w:rsid w:val="003F1B35"/>
    <w:rsid w:val="003F24E1"/>
    <w:rsid w:val="003F3986"/>
    <w:rsid w:val="003F3F8E"/>
    <w:rsid w:val="003F47C5"/>
    <w:rsid w:val="003F6709"/>
    <w:rsid w:val="003F77FE"/>
    <w:rsid w:val="00400266"/>
    <w:rsid w:val="0040336C"/>
    <w:rsid w:val="0040418A"/>
    <w:rsid w:val="00405DD3"/>
    <w:rsid w:val="00406045"/>
    <w:rsid w:val="00406817"/>
    <w:rsid w:val="004076C3"/>
    <w:rsid w:val="00410D8D"/>
    <w:rsid w:val="00413287"/>
    <w:rsid w:val="00413559"/>
    <w:rsid w:val="00414495"/>
    <w:rsid w:val="0041554A"/>
    <w:rsid w:val="00415733"/>
    <w:rsid w:val="00415954"/>
    <w:rsid w:val="004159D0"/>
    <w:rsid w:val="004166CA"/>
    <w:rsid w:val="00422696"/>
    <w:rsid w:val="00422A05"/>
    <w:rsid w:val="004245BF"/>
    <w:rsid w:val="00424B7A"/>
    <w:rsid w:val="00426A8B"/>
    <w:rsid w:val="00427136"/>
    <w:rsid w:val="00427E14"/>
    <w:rsid w:val="004302AB"/>
    <w:rsid w:val="00430B47"/>
    <w:rsid w:val="00431029"/>
    <w:rsid w:val="00431FE7"/>
    <w:rsid w:val="00434A13"/>
    <w:rsid w:val="00435CDB"/>
    <w:rsid w:val="00436F9C"/>
    <w:rsid w:val="00437D43"/>
    <w:rsid w:val="0044364A"/>
    <w:rsid w:val="0044469E"/>
    <w:rsid w:val="00444847"/>
    <w:rsid w:val="00444BED"/>
    <w:rsid w:val="00445954"/>
    <w:rsid w:val="00445FDD"/>
    <w:rsid w:val="004460D9"/>
    <w:rsid w:val="00446712"/>
    <w:rsid w:val="00447A76"/>
    <w:rsid w:val="00447D50"/>
    <w:rsid w:val="00450C4F"/>
    <w:rsid w:val="004531C3"/>
    <w:rsid w:val="004544C3"/>
    <w:rsid w:val="004555A4"/>
    <w:rsid w:val="0045636F"/>
    <w:rsid w:val="00456A0A"/>
    <w:rsid w:val="004618C9"/>
    <w:rsid w:val="00462B5D"/>
    <w:rsid w:val="0046386C"/>
    <w:rsid w:val="004639F0"/>
    <w:rsid w:val="0046599F"/>
    <w:rsid w:val="004664C9"/>
    <w:rsid w:val="00467682"/>
    <w:rsid w:val="004713F8"/>
    <w:rsid w:val="00471856"/>
    <w:rsid w:val="004725F6"/>
    <w:rsid w:val="00472B48"/>
    <w:rsid w:val="00475D03"/>
    <w:rsid w:val="00475EFA"/>
    <w:rsid w:val="004760D0"/>
    <w:rsid w:val="00481DC8"/>
    <w:rsid w:val="00483E35"/>
    <w:rsid w:val="00484412"/>
    <w:rsid w:val="00485DE5"/>
    <w:rsid w:val="004862AB"/>
    <w:rsid w:val="004909EB"/>
    <w:rsid w:val="00491FCC"/>
    <w:rsid w:val="00493095"/>
    <w:rsid w:val="00494096"/>
    <w:rsid w:val="00494645"/>
    <w:rsid w:val="00494990"/>
    <w:rsid w:val="004952D2"/>
    <w:rsid w:val="00495324"/>
    <w:rsid w:val="00497D77"/>
    <w:rsid w:val="004A06EB"/>
    <w:rsid w:val="004A072D"/>
    <w:rsid w:val="004A1AB8"/>
    <w:rsid w:val="004A1CCE"/>
    <w:rsid w:val="004A21B6"/>
    <w:rsid w:val="004A39A6"/>
    <w:rsid w:val="004A5BEC"/>
    <w:rsid w:val="004A5CD6"/>
    <w:rsid w:val="004A608F"/>
    <w:rsid w:val="004A6FC7"/>
    <w:rsid w:val="004B1D05"/>
    <w:rsid w:val="004B2CB8"/>
    <w:rsid w:val="004B458B"/>
    <w:rsid w:val="004B4BC3"/>
    <w:rsid w:val="004B6084"/>
    <w:rsid w:val="004C112C"/>
    <w:rsid w:val="004C56E0"/>
    <w:rsid w:val="004C5A63"/>
    <w:rsid w:val="004C6C05"/>
    <w:rsid w:val="004C775B"/>
    <w:rsid w:val="004D0127"/>
    <w:rsid w:val="004D173D"/>
    <w:rsid w:val="004D2D5A"/>
    <w:rsid w:val="004D4252"/>
    <w:rsid w:val="004D4283"/>
    <w:rsid w:val="004D4791"/>
    <w:rsid w:val="004D61D1"/>
    <w:rsid w:val="004D7D9B"/>
    <w:rsid w:val="004E2954"/>
    <w:rsid w:val="004E3915"/>
    <w:rsid w:val="004E43FE"/>
    <w:rsid w:val="004E5058"/>
    <w:rsid w:val="004E632B"/>
    <w:rsid w:val="004E72C0"/>
    <w:rsid w:val="004F0213"/>
    <w:rsid w:val="004F05C9"/>
    <w:rsid w:val="004F05D7"/>
    <w:rsid w:val="004F1DE5"/>
    <w:rsid w:val="004F38A4"/>
    <w:rsid w:val="004F4A55"/>
    <w:rsid w:val="004F5674"/>
    <w:rsid w:val="004F609D"/>
    <w:rsid w:val="004F68D4"/>
    <w:rsid w:val="004F6B0D"/>
    <w:rsid w:val="004F7B98"/>
    <w:rsid w:val="00502217"/>
    <w:rsid w:val="005036B2"/>
    <w:rsid w:val="00504A6D"/>
    <w:rsid w:val="00504DC7"/>
    <w:rsid w:val="00506164"/>
    <w:rsid w:val="005105FE"/>
    <w:rsid w:val="005107C2"/>
    <w:rsid w:val="00514D36"/>
    <w:rsid w:val="00515F73"/>
    <w:rsid w:val="005166F6"/>
    <w:rsid w:val="00517582"/>
    <w:rsid w:val="005177D0"/>
    <w:rsid w:val="00522DC8"/>
    <w:rsid w:val="0052340C"/>
    <w:rsid w:val="00524392"/>
    <w:rsid w:val="005250F5"/>
    <w:rsid w:val="00525BED"/>
    <w:rsid w:val="00526FD4"/>
    <w:rsid w:val="00531E46"/>
    <w:rsid w:val="00532947"/>
    <w:rsid w:val="00532A51"/>
    <w:rsid w:val="0053488D"/>
    <w:rsid w:val="00534D09"/>
    <w:rsid w:val="005356E9"/>
    <w:rsid w:val="005364F8"/>
    <w:rsid w:val="00536ECE"/>
    <w:rsid w:val="00537309"/>
    <w:rsid w:val="00537443"/>
    <w:rsid w:val="0053746C"/>
    <w:rsid w:val="00537E4B"/>
    <w:rsid w:val="005406A0"/>
    <w:rsid w:val="0054235D"/>
    <w:rsid w:val="00543C83"/>
    <w:rsid w:val="00545E50"/>
    <w:rsid w:val="00545ECD"/>
    <w:rsid w:val="00545FE7"/>
    <w:rsid w:val="0055036D"/>
    <w:rsid w:val="005529CF"/>
    <w:rsid w:val="005539F5"/>
    <w:rsid w:val="005543D4"/>
    <w:rsid w:val="00554F78"/>
    <w:rsid w:val="0055662D"/>
    <w:rsid w:val="005576B8"/>
    <w:rsid w:val="005629ED"/>
    <w:rsid w:val="00565D00"/>
    <w:rsid w:val="00566199"/>
    <w:rsid w:val="00566A06"/>
    <w:rsid w:val="0056784C"/>
    <w:rsid w:val="00570082"/>
    <w:rsid w:val="00570164"/>
    <w:rsid w:val="00570A68"/>
    <w:rsid w:val="00570DD2"/>
    <w:rsid w:val="00576E4C"/>
    <w:rsid w:val="00582785"/>
    <w:rsid w:val="00584484"/>
    <w:rsid w:val="0058669E"/>
    <w:rsid w:val="005870C3"/>
    <w:rsid w:val="00590B2E"/>
    <w:rsid w:val="00590FF2"/>
    <w:rsid w:val="005916C5"/>
    <w:rsid w:val="00592F8C"/>
    <w:rsid w:val="00593ECD"/>
    <w:rsid w:val="00595285"/>
    <w:rsid w:val="0059539F"/>
    <w:rsid w:val="00596C23"/>
    <w:rsid w:val="005A0098"/>
    <w:rsid w:val="005A0BB2"/>
    <w:rsid w:val="005A1088"/>
    <w:rsid w:val="005A14BB"/>
    <w:rsid w:val="005A2682"/>
    <w:rsid w:val="005A27A7"/>
    <w:rsid w:val="005A4164"/>
    <w:rsid w:val="005A4788"/>
    <w:rsid w:val="005A7BF2"/>
    <w:rsid w:val="005A7FDF"/>
    <w:rsid w:val="005B0CAA"/>
    <w:rsid w:val="005B1C61"/>
    <w:rsid w:val="005B315A"/>
    <w:rsid w:val="005B3A59"/>
    <w:rsid w:val="005B3D80"/>
    <w:rsid w:val="005B5BAE"/>
    <w:rsid w:val="005B6758"/>
    <w:rsid w:val="005B77EE"/>
    <w:rsid w:val="005B7992"/>
    <w:rsid w:val="005C319B"/>
    <w:rsid w:val="005C43F1"/>
    <w:rsid w:val="005C4502"/>
    <w:rsid w:val="005C5056"/>
    <w:rsid w:val="005C5658"/>
    <w:rsid w:val="005C5A71"/>
    <w:rsid w:val="005C66BC"/>
    <w:rsid w:val="005C7E75"/>
    <w:rsid w:val="005D004E"/>
    <w:rsid w:val="005D15E0"/>
    <w:rsid w:val="005D1CE3"/>
    <w:rsid w:val="005D2D1F"/>
    <w:rsid w:val="005D2DEE"/>
    <w:rsid w:val="005D3642"/>
    <w:rsid w:val="005D489B"/>
    <w:rsid w:val="005D5D54"/>
    <w:rsid w:val="005D64CD"/>
    <w:rsid w:val="005E07A9"/>
    <w:rsid w:val="005E4554"/>
    <w:rsid w:val="005E510C"/>
    <w:rsid w:val="005E6C0F"/>
    <w:rsid w:val="005E7B74"/>
    <w:rsid w:val="005F0CEC"/>
    <w:rsid w:val="005F1AE9"/>
    <w:rsid w:val="005F3D3B"/>
    <w:rsid w:val="005F4750"/>
    <w:rsid w:val="005F63C7"/>
    <w:rsid w:val="005F6580"/>
    <w:rsid w:val="00600C94"/>
    <w:rsid w:val="00600DE1"/>
    <w:rsid w:val="00600EED"/>
    <w:rsid w:val="00601EA5"/>
    <w:rsid w:val="0060317C"/>
    <w:rsid w:val="006043A0"/>
    <w:rsid w:val="00604439"/>
    <w:rsid w:val="006044C4"/>
    <w:rsid w:val="00607F97"/>
    <w:rsid w:val="00610D02"/>
    <w:rsid w:val="006118C6"/>
    <w:rsid w:val="00612E7C"/>
    <w:rsid w:val="00612FCB"/>
    <w:rsid w:val="006141E5"/>
    <w:rsid w:val="00614290"/>
    <w:rsid w:val="00615D1D"/>
    <w:rsid w:val="00615F2C"/>
    <w:rsid w:val="0061792E"/>
    <w:rsid w:val="00623EA9"/>
    <w:rsid w:val="00626045"/>
    <w:rsid w:val="00627808"/>
    <w:rsid w:val="006279E9"/>
    <w:rsid w:val="006319FD"/>
    <w:rsid w:val="00631BCB"/>
    <w:rsid w:val="00632174"/>
    <w:rsid w:val="00632A68"/>
    <w:rsid w:val="006335E2"/>
    <w:rsid w:val="00634345"/>
    <w:rsid w:val="006349BD"/>
    <w:rsid w:val="006357F6"/>
    <w:rsid w:val="00635F1A"/>
    <w:rsid w:val="006373A5"/>
    <w:rsid w:val="00640112"/>
    <w:rsid w:val="006454A4"/>
    <w:rsid w:val="00646B57"/>
    <w:rsid w:val="00650069"/>
    <w:rsid w:val="0065121D"/>
    <w:rsid w:val="00652579"/>
    <w:rsid w:val="00652BEB"/>
    <w:rsid w:val="00653135"/>
    <w:rsid w:val="00653802"/>
    <w:rsid w:val="00653E81"/>
    <w:rsid w:val="00653ED7"/>
    <w:rsid w:val="006544C8"/>
    <w:rsid w:val="0065733C"/>
    <w:rsid w:val="00662404"/>
    <w:rsid w:val="006645E4"/>
    <w:rsid w:val="006666D7"/>
    <w:rsid w:val="0067043B"/>
    <w:rsid w:val="00671918"/>
    <w:rsid w:val="00671D4C"/>
    <w:rsid w:val="00672697"/>
    <w:rsid w:val="00673B1C"/>
    <w:rsid w:val="00674780"/>
    <w:rsid w:val="00675CE3"/>
    <w:rsid w:val="006762F5"/>
    <w:rsid w:val="00676D4B"/>
    <w:rsid w:val="00677292"/>
    <w:rsid w:val="00680133"/>
    <w:rsid w:val="0068081B"/>
    <w:rsid w:val="006809C7"/>
    <w:rsid w:val="00681051"/>
    <w:rsid w:val="00681A73"/>
    <w:rsid w:val="00682553"/>
    <w:rsid w:val="006825BC"/>
    <w:rsid w:val="0068626D"/>
    <w:rsid w:val="00690B07"/>
    <w:rsid w:val="00691133"/>
    <w:rsid w:val="00694099"/>
    <w:rsid w:val="00694644"/>
    <w:rsid w:val="00696319"/>
    <w:rsid w:val="00696A7B"/>
    <w:rsid w:val="00696F2C"/>
    <w:rsid w:val="006976D3"/>
    <w:rsid w:val="006A1230"/>
    <w:rsid w:val="006A2AEB"/>
    <w:rsid w:val="006A41A6"/>
    <w:rsid w:val="006A4EF6"/>
    <w:rsid w:val="006A6438"/>
    <w:rsid w:val="006B042A"/>
    <w:rsid w:val="006B06E0"/>
    <w:rsid w:val="006B2CAE"/>
    <w:rsid w:val="006B57F6"/>
    <w:rsid w:val="006B5F30"/>
    <w:rsid w:val="006B60E7"/>
    <w:rsid w:val="006B6285"/>
    <w:rsid w:val="006B6F7E"/>
    <w:rsid w:val="006B7023"/>
    <w:rsid w:val="006B72D1"/>
    <w:rsid w:val="006B7808"/>
    <w:rsid w:val="006C4115"/>
    <w:rsid w:val="006C6054"/>
    <w:rsid w:val="006D15F8"/>
    <w:rsid w:val="006D1616"/>
    <w:rsid w:val="006D2DDD"/>
    <w:rsid w:val="006D4CEB"/>
    <w:rsid w:val="006D5EC6"/>
    <w:rsid w:val="006D6A25"/>
    <w:rsid w:val="006D7099"/>
    <w:rsid w:val="006E0DDE"/>
    <w:rsid w:val="006E1B2C"/>
    <w:rsid w:val="006E20FF"/>
    <w:rsid w:val="006E26BE"/>
    <w:rsid w:val="006E27A5"/>
    <w:rsid w:val="006E4CF2"/>
    <w:rsid w:val="006E7DD2"/>
    <w:rsid w:val="006F19A8"/>
    <w:rsid w:val="006F2229"/>
    <w:rsid w:val="006F4423"/>
    <w:rsid w:val="006F48F8"/>
    <w:rsid w:val="006F52AD"/>
    <w:rsid w:val="006F5F3D"/>
    <w:rsid w:val="006F7CF9"/>
    <w:rsid w:val="007012BD"/>
    <w:rsid w:val="0070214C"/>
    <w:rsid w:val="00703EDA"/>
    <w:rsid w:val="00706C19"/>
    <w:rsid w:val="00707F28"/>
    <w:rsid w:val="007121B4"/>
    <w:rsid w:val="007124A3"/>
    <w:rsid w:val="00715032"/>
    <w:rsid w:val="00726BB4"/>
    <w:rsid w:val="007274D9"/>
    <w:rsid w:val="007340AE"/>
    <w:rsid w:val="007340D9"/>
    <w:rsid w:val="00735D25"/>
    <w:rsid w:val="0074158E"/>
    <w:rsid w:val="007427A7"/>
    <w:rsid w:val="0074757A"/>
    <w:rsid w:val="007500C0"/>
    <w:rsid w:val="0075319F"/>
    <w:rsid w:val="00753328"/>
    <w:rsid w:val="00754D02"/>
    <w:rsid w:val="0075632E"/>
    <w:rsid w:val="00756BA8"/>
    <w:rsid w:val="007628E4"/>
    <w:rsid w:val="007635D5"/>
    <w:rsid w:val="0076684B"/>
    <w:rsid w:val="00767234"/>
    <w:rsid w:val="007716B0"/>
    <w:rsid w:val="007719E0"/>
    <w:rsid w:val="007721D2"/>
    <w:rsid w:val="00772919"/>
    <w:rsid w:val="00772AE1"/>
    <w:rsid w:val="007750EB"/>
    <w:rsid w:val="007751DC"/>
    <w:rsid w:val="007776B1"/>
    <w:rsid w:val="00781830"/>
    <w:rsid w:val="00783A4E"/>
    <w:rsid w:val="007847F0"/>
    <w:rsid w:val="00787099"/>
    <w:rsid w:val="00787815"/>
    <w:rsid w:val="0079143C"/>
    <w:rsid w:val="00792517"/>
    <w:rsid w:val="00794528"/>
    <w:rsid w:val="007951D2"/>
    <w:rsid w:val="007955CC"/>
    <w:rsid w:val="00795EB8"/>
    <w:rsid w:val="00796949"/>
    <w:rsid w:val="007A00EC"/>
    <w:rsid w:val="007A1B81"/>
    <w:rsid w:val="007A2F67"/>
    <w:rsid w:val="007A3635"/>
    <w:rsid w:val="007A457D"/>
    <w:rsid w:val="007A4B19"/>
    <w:rsid w:val="007A7BB6"/>
    <w:rsid w:val="007B09A3"/>
    <w:rsid w:val="007B3B47"/>
    <w:rsid w:val="007B3FEE"/>
    <w:rsid w:val="007B43AE"/>
    <w:rsid w:val="007B5250"/>
    <w:rsid w:val="007B7A0C"/>
    <w:rsid w:val="007C411E"/>
    <w:rsid w:val="007C7F8E"/>
    <w:rsid w:val="007D021C"/>
    <w:rsid w:val="007D1346"/>
    <w:rsid w:val="007D1CF1"/>
    <w:rsid w:val="007D2AD6"/>
    <w:rsid w:val="007D3531"/>
    <w:rsid w:val="007D47F3"/>
    <w:rsid w:val="007D49C7"/>
    <w:rsid w:val="007D665F"/>
    <w:rsid w:val="007D673A"/>
    <w:rsid w:val="007D723E"/>
    <w:rsid w:val="007D758F"/>
    <w:rsid w:val="007E0A23"/>
    <w:rsid w:val="007E0FF6"/>
    <w:rsid w:val="007E295B"/>
    <w:rsid w:val="007E2FAC"/>
    <w:rsid w:val="007E345F"/>
    <w:rsid w:val="007E3F96"/>
    <w:rsid w:val="007E4E17"/>
    <w:rsid w:val="007E542C"/>
    <w:rsid w:val="007E7357"/>
    <w:rsid w:val="007E7762"/>
    <w:rsid w:val="007F1712"/>
    <w:rsid w:val="007F3236"/>
    <w:rsid w:val="007F3CFE"/>
    <w:rsid w:val="007F4C91"/>
    <w:rsid w:val="007F6936"/>
    <w:rsid w:val="007F6E93"/>
    <w:rsid w:val="00800307"/>
    <w:rsid w:val="008021DE"/>
    <w:rsid w:val="00803435"/>
    <w:rsid w:val="00803CCA"/>
    <w:rsid w:val="00803F61"/>
    <w:rsid w:val="00804C33"/>
    <w:rsid w:val="00805005"/>
    <w:rsid w:val="008059E0"/>
    <w:rsid w:val="00805F6F"/>
    <w:rsid w:val="00806124"/>
    <w:rsid w:val="00806D92"/>
    <w:rsid w:val="00807A3C"/>
    <w:rsid w:val="008109EA"/>
    <w:rsid w:val="00811F47"/>
    <w:rsid w:val="00816862"/>
    <w:rsid w:val="00817C65"/>
    <w:rsid w:val="00817D92"/>
    <w:rsid w:val="00817FE9"/>
    <w:rsid w:val="00820A5E"/>
    <w:rsid w:val="008248B9"/>
    <w:rsid w:val="0082529D"/>
    <w:rsid w:val="0082569B"/>
    <w:rsid w:val="00825DDB"/>
    <w:rsid w:val="008260F1"/>
    <w:rsid w:val="008270B3"/>
    <w:rsid w:val="008271EA"/>
    <w:rsid w:val="00830627"/>
    <w:rsid w:val="00830B18"/>
    <w:rsid w:val="00831723"/>
    <w:rsid w:val="008321F4"/>
    <w:rsid w:val="00833BFA"/>
    <w:rsid w:val="0083589D"/>
    <w:rsid w:val="00842E46"/>
    <w:rsid w:val="00845E31"/>
    <w:rsid w:val="00846998"/>
    <w:rsid w:val="008469FC"/>
    <w:rsid w:val="0085047A"/>
    <w:rsid w:val="00851507"/>
    <w:rsid w:val="00851A6F"/>
    <w:rsid w:val="00851B76"/>
    <w:rsid w:val="00851E1C"/>
    <w:rsid w:val="0085302C"/>
    <w:rsid w:val="008532DF"/>
    <w:rsid w:val="0085468F"/>
    <w:rsid w:val="00854CC1"/>
    <w:rsid w:val="00854D45"/>
    <w:rsid w:val="00854F91"/>
    <w:rsid w:val="008561B1"/>
    <w:rsid w:val="008617D7"/>
    <w:rsid w:val="00861A11"/>
    <w:rsid w:val="00862C7A"/>
    <w:rsid w:val="00864424"/>
    <w:rsid w:val="008660DE"/>
    <w:rsid w:val="00866121"/>
    <w:rsid w:val="0086620D"/>
    <w:rsid w:val="00871062"/>
    <w:rsid w:val="008718B7"/>
    <w:rsid w:val="008732F8"/>
    <w:rsid w:val="00873B54"/>
    <w:rsid w:val="00874FAF"/>
    <w:rsid w:val="008755AD"/>
    <w:rsid w:val="0087679B"/>
    <w:rsid w:val="0088088E"/>
    <w:rsid w:val="008826FF"/>
    <w:rsid w:val="008827A4"/>
    <w:rsid w:val="00883EC1"/>
    <w:rsid w:val="00884429"/>
    <w:rsid w:val="0088554A"/>
    <w:rsid w:val="00885CCA"/>
    <w:rsid w:val="008860C2"/>
    <w:rsid w:val="008866A3"/>
    <w:rsid w:val="008868CC"/>
    <w:rsid w:val="00887436"/>
    <w:rsid w:val="00887DAD"/>
    <w:rsid w:val="008907F6"/>
    <w:rsid w:val="00890E21"/>
    <w:rsid w:val="00892607"/>
    <w:rsid w:val="00895514"/>
    <w:rsid w:val="008962B2"/>
    <w:rsid w:val="008970AF"/>
    <w:rsid w:val="00897D64"/>
    <w:rsid w:val="008A05F4"/>
    <w:rsid w:val="008A0C2F"/>
    <w:rsid w:val="008A0E52"/>
    <w:rsid w:val="008A1C92"/>
    <w:rsid w:val="008A29F8"/>
    <w:rsid w:val="008A38F0"/>
    <w:rsid w:val="008A3982"/>
    <w:rsid w:val="008A3A6F"/>
    <w:rsid w:val="008A3B7D"/>
    <w:rsid w:val="008A467C"/>
    <w:rsid w:val="008B03E4"/>
    <w:rsid w:val="008B2073"/>
    <w:rsid w:val="008B2330"/>
    <w:rsid w:val="008B5B18"/>
    <w:rsid w:val="008B6591"/>
    <w:rsid w:val="008B6CCC"/>
    <w:rsid w:val="008C3F10"/>
    <w:rsid w:val="008C4A41"/>
    <w:rsid w:val="008C650B"/>
    <w:rsid w:val="008C66F7"/>
    <w:rsid w:val="008C79B5"/>
    <w:rsid w:val="008D1456"/>
    <w:rsid w:val="008D1900"/>
    <w:rsid w:val="008D2242"/>
    <w:rsid w:val="008D2326"/>
    <w:rsid w:val="008D3513"/>
    <w:rsid w:val="008D63C2"/>
    <w:rsid w:val="008D6D49"/>
    <w:rsid w:val="008D716E"/>
    <w:rsid w:val="008E0302"/>
    <w:rsid w:val="008E0A4B"/>
    <w:rsid w:val="008E19D4"/>
    <w:rsid w:val="008E27DA"/>
    <w:rsid w:val="008E2BFB"/>
    <w:rsid w:val="008E3FCC"/>
    <w:rsid w:val="008E45B0"/>
    <w:rsid w:val="008E564B"/>
    <w:rsid w:val="008E633E"/>
    <w:rsid w:val="008E7A20"/>
    <w:rsid w:val="008F0C2D"/>
    <w:rsid w:val="008F16F1"/>
    <w:rsid w:val="008F1C0C"/>
    <w:rsid w:val="008F2E2C"/>
    <w:rsid w:val="008F54FF"/>
    <w:rsid w:val="008F595D"/>
    <w:rsid w:val="008F5DB8"/>
    <w:rsid w:val="008F7486"/>
    <w:rsid w:val="008F7C31"/>
    <w:rsid w:val="008F7F1D"/>
    <w:rsid w:val="00900DFC"/>
    <w:rsid w:val="0090343B"/>
    <w:rsid w:val="00903EA2"/>
    <w:rsid w:val="0090610D"/>
    <w:rsid w:val="009065C5"/>
    <w:rsid w:val="009071D5"/>
    <w:rsid w:val="009122A2"/>
    <w:rsid w:val="00914340"/>
    <w:rsid w:val="00914A5F"/>
    <w:rsid w:val="00916888"/>
    <w:rsid w:val="00920083"/>
    <w:rsid w:val="00920B44"/>
    <w:rsid w:val="009213DE"/>
    <w:rsid w:val="00922632"/>
    <w:rsid w:val="00922A25"/>
    <w:rsid w:val="009242DE"/>
    <w:rsid w:val="00926288"/>
    <w:rsid w:val="00927F29"/>
    <w:rsid w:val="00931959"/>
    <w:rsid w:val="009346CD"/>
    <w:rsid w:val="00935DBE"/>
    <w:rsid w:val="00937229"/>
    <w:rsid w:val="00940277"/>
    <w:rsid w:val="0094058E"/>
    <w:rsid w:val="00941D65"/>
    <w:rsid w:val="00941DE0"/>
    <w:rsid w:val="00944FCE"/>
    <w:rsid w:val="009473A6"/>
    <w:rsid w:val="00951A16"/>
    <w:rsid w:val="00956197"/>
    <w:rsid w:val="009561D3"/>
    <w:rsid w:val="00962345"/>
    <w:rsid w:val="00965333"/>
    <w:rsid w:val="009700E8"/>
    <w:rsid w:val="00970C22"/>
    <w:rsid w:val="009716CB"/>
    <w:rsid w:val="00974B74"/>
    <w:rsid w:val="00980232"/>
    <w:rsid w:val="00980291"/>
    <w:rsid w:val="00980305"/>
    <w:rsid w:val="00981888"/>
    <w:rsid w:val="00981977"/>
    <w:rsid w:val="009821E3"/>
    <w:rsid w:val="00982A49"/>
    <w:rsid w:val="00983789"/>
    <w:rsid w:val="009858D3"/>
    <w:rsid w:val="009858DE"/>
    <w:rsid w:val="009870FD"/>
    <w:rsid w:val="0099065B"/>
    <w:rsid w:val="00993A04"/>
    <w:rsid w:val="00994AA2"/>
    <w:rsid w:val="00995FA1"/>
    <w:rsid w:val="00996FB5"/>
    <w:rsid w:val="00997172"/>
    <w:rsid w:val="00997A7F"/>
    <w:rsid w:val="00997EA5"/>
    <w:rsid w:val="009A0970"/>
    <w:rsid w:val="009A3820"/>
    <w:rsid w:val="009A3923"/>
    <w:rsid w:val="009A3F61"/>
    <w:rsid w:val="009A56B1"/>
    <w:rsid w:val="009A6DAE"/>
    <w:rsid w:val="009A711E"/>
    <w:rsid w:val="009B054C"/>
    <w:rsid w:val="009B0BE1"/>
    <w:rsid w:val="009B4352"/>
    <w:rsid w:val="009B51B1"/>
    <w:rsid w:val="009B58B9"/>
    <w:rsid w:val="009B626C"/>
    <w:rsid w:val="009C0656"/>
    <w:rsid w:val="009C08F0"/>
    <w:rsid w:val="009C0BB0"/>
    <w:rsid w:val="009C105F"/>
    <w:rsid w:val="009C14C5"/>
    <w:rsid w:val="009C3208"/>
    <w:rsid w:val="009C591E"/>
    <w:rsid w:val="009C640F"/>
    <w:rsid w:val="009C64D3"/>
    <w:rsid w:val="009D053C"/>
    <w:rsid w:val="009D05FD"/>
    <w:rsid w:val="009D1A71"/>
    <w:rsid w:val="009D739F"/>
    <w:rsid w:val="009D7DCD"/>
    <w:rsid w:val="009D7F17"/>
    <w:rsid w:val="009E0708"/>
    <w:rsid w:val="009E0AE4"/>
    <w:rsid w:val="009E0F40"/>
    <w:rsid w:val="009E2912"/>
    <w:rsid w:val="009E45E6"/>
    <w:rsid w:val="009E67B0"/>
    <w:rsid w:val="009F6BDD"/>
    <w:rsid w:val="00A00067"/>
    <w:rsid w:val="00A00EFD"/>
    <w:rsid w:val="00A019C2"/>
    <w:rsid w:val="00A02E4E"/>
    <w:rsid w:val="00A0556A"/>
    <w:rsid w:val="00A05AE4"/>
    <w:rsid w:val="00A10230"/>
    <w:rsid w:val="00A11E80"/>
    <w:rsid w:val="00A12714"/>
    <w:rsid w:val="00A13268"/>
    <w:rsid w:val="00A13E64"/>
    <w:rsid w:val="00A14B49"/>
    <w:rsid w:val="00A15618"/>
    <w:rsid w:val="00A170E6"/>
    <w:rsid w:val="00A2091B"/>
    <w:rsid w:val="00A20EF7"/>
    <w:rsid w:val="00A21180"/>
    <w:rsid w:val="00A21310"/>
    <w:rsid w:val="00A21CE0"/>
    <w:rsid w:val="00A2491C"/>
    <w:rsid w:val="00A25F51"/>
    <w:rsid w:val="00A26948"/>
    <w:rsid w:val="00A27C52"/>
    <w:rsid w:val="00A27EE9"/>
    <w:rsid w:val="00A31F71"/>
    <w:rsid w:val="00A3278C"/>
    <w:rsid w:val="00A3589D"/>
    <w:rsid w:val="00A37645"/>
    <w:rsid w:val="00A41E52"/>
    <w:rsid w:val="00A461C4"/>
    <w:rsid w:val="00A469A6"/>
    <w:rsid w:val="00A47183"/>
    <w:rsid w:val="00A47393"/>
    <w:rsid w:val="00A47EFA"/>
    <w:rsid w:val="00A5005A"/>
    <w:rsid w:val="00A50D6B"/>
    <w:rsid w:val="00A50DB1"/>
    <w:rsid w:val="00A50FAE"/>
    <w:rsid w:val="00A51449"/>
    <w:rsid w:val="00A51CF5"/>
    <w:rsid w:val="00A559C6"/>
    <w:rsid w:val="00A560CB"/>
    <w:rsid w:val="00A56DFE"/>
    <w:rsid w:val="00A57980"/>
    <w:rsid w:val="00A60C40"/>
    <w:rsid w:val="00A63115"/>
    <w:rsid w:val="00A66190"/>
    <w:rsid w:val="00A667ED"/>
    <w:rsid w:val="00A67BFD"/>
    <w:rsid w:val="00A705A0"/>
    <w:rsid w:val="00A70A04"/>
    <w:rsid w:val="00A71D0A"/>
    <w:rsid w:val="00A729D1"/>
    <w:rsid w:val="00A748D4"/>
    <w:rsid w:val="00A75CB4"/>
    <w:rsid w:val="00A77A60"/>
    <w:rsid w:val="00A806F5"/>
    <w:rsid w:val="00A812D5"/>
    <w:rsid w:val="00A844A1"/>
    <w:rsid w:val="00A85FF3"/>
    <w:rsid w:val="00A86637"/>
    <w:rsid w:val="00A87FEF"/>
    <w:rsid w:val="00A92BA2"/>
    <w:rsid w:val="00A935FE"/>
    <w:rsid w:val="00A94180"/>
    <w:rsid w:val="00A94360"/>
    <w:rsid w:val="00A94B88"/>
    <w:rsid w:val="00A977CD"/>
    <w:rsid w:val="00A97900"/>
    <w:rsid w:val="00AA0438"/>
    <w:rsid w:val="00AA090D"/>
    <w:rsid w:val="00AA20DA"/>
    <w:rsid w:val="00AA4946"/>
    <w:rsid w:val="00AA4C09"/>
    <w:rsid w:val="00AB213B"/>
    <w:rsid w:val="00AB29E2"/>
    <w:rsid w:val="00AB341E"/>
    <w:rsid w:val="00AB36A8"/>
    <w:rsid w:val="00AB5D43"/>
    <w:rsid w:val="00AC007F"/>
    <w:rsid w:val="00AC18BF"/>
    <w:rsid w:val="00AC29B3"/>
    <w:rsid w:val="00AC46DC"/>
    <w:rsid w:val="00AC48B1"/>
    <w:rsid w:val="00AD13C9"/>
    <w:rsid w:val="00AD15F7"/>
    <w:rsid w:val="00AD2FBA"/>
    <w:rsid w:val="00AD34D6"/>
    <w:rsid w:val="00AD50C0"/>
    <w:rsid w:val="00AD5D1C"/>
    <w:rsid w:val="00AD63FC"/>
    <w:rsid w:val="00AD6B0D"/>
    <w:rsid w:val="00AD7533"/>
    <w:rsid w:val="00AE304B"/>
    <w:rsid w:val="00AE4C27"/>
    <w:rsid w:val="00AE4CCF"/>
    <w:rsid w:val="00AE50BE"/>
    <w:rsid w:val="00AE6FA5"/>
    <w:rsid w:val="00AE720C"/>
    <w:rsid w:val="00AF1E72"/>
    <w:rsid w:val="00AF27A2"/>
    <w:rsid w:val="00AF53C2"/>
    <w:rsid w:val="00AF59FF"/>
    <w:rsid w:val="00AF6BB6"/>
    <w:rsid w:val="00B00F51"/>
    <w:rsid w:val="00B01482"/>
    <w:rsid w:val="00B015B6"/>
    <w:rsid w:val="00B02228"/>
    <w:rsid w:val="00B02CD9"/>
    <w:rsid w:val="00B04718"/>
    <w:rsid w:val="00B0485C"/>
    <w:rsid w:val="00B06307"/>
    <w:rsid w:val="00B07F65"/>
    <w:rsid w:val="00B11270"/>
    <w:rsid w:val="00B1190D"/>
    <w:rsid w:val="00B12588"/>
    <w:rsid w:val="00B132CE"/>
    <w:rsid w:val="00B14B35"/>
    <w:rsid w:val="00B16808"/>
    <w:rsid w:val="00B17584"/>
    <w:rsid w:val="00B17B39"/>
    <w:rsid w:val="00B17BA9"/>
    <w:rsid w:val="00B2590F"/>
    <w:rsid w:val="00B2654C"/>
    <w:rsid w:val="00B2688B"/>
    <w:rsid w:val="00B300E7"/>
    <w:rsid w:val="00B31131"/>
    <w:rsid w:val="00B31807"/>
    <w:rsid w:val="00B31F01"/>
    <w:rsid w:val="00B33C81"/>
    <w:rsid w:val="00B3468A"/>
    <w:rsid w:val="00B351A7"/>
    <w:rsid w:val="00B36084"/>
    <w:rsid w:val="00B365DD"/>
    <w:rsid w:val="00B36E93"/>
    <w:rsid w:val="00B3719C"/>
    <w:rsid w:val="00B40A4B"/>
    <w:rsid w:val="00B4169E"/>
    <w:rsid w:val="00B430CD"/>
    <w:rsid w:val="00B43711"/>
    <w:rsid w:val="00B46A7C"/>
    <w:rsid w:val="00B46D5F"/>
    <w:rsid w:val="00B514EA"/>
    <w:rsid w:val="00B53593"/>
    <w:rsid w:val="00B537DC"/>
    <w:rsid w:val="00B55B00"/>
    <w:rsid w:val="00B56CFF"/>
    <w:rsid w:val="00B57434"/>
    <w:rsid w:val="00B57980"/>
    <w:rsid w:val="00B57DE8"/>
    <w:rsid w:val="00B61101"/>
    <w:rsid w:val="00B632A4"/>
    <w:rsid w:val="00B71DB8"/>
    <w:rsid w:val="00B735F9"/>
    <w:rsid w:val="00B73631"/>
    <w:rsid w:val="00B77B67"/>
    <w:rsid w:val="00B77B6B"/>
    <w:rsid w:val="00B80337"/>
    <w:rsid w:val="00B81A18"/>
    <w:rsid w:val="00B82613"/>
    <w:rsid w:val="00B8361C"/>
    <w:rsid w:val="00B836D8"/>
    <w:rsid w:val="00B83C5A"/>
    <w:rsid w:val="00B8423A"/>
    <w:rsid w:val="00B850AB"/>
    <w:rsid w:val="00B85646"/>
    <w:rsid w:val="00B868D8"/>
    <w:rsid w:val="00B87D08"/>
    <w:rsid w:val="00B91267"/>
    <w:rsid w:val="00B912F9"/>
    <w:rsid w:val="00B91A73"/>
    <w:rsid w:val="00B91DC4"/>
    <w:rsid w:val="00B92C01"/>
    <w:rsid w:val="00B95E27"/>
    <w:rsid w:val="00B9626C"/>
    <w:rsid w:val="00B96CCA"/>
    <w:rsid w:val="00BA0276"/>
    <w:rsid w:val="00BA0946"/>
    <w:rsid w:val="00BA0DD0"/>
    <w:rsid w:val="00BA1C8F"/>
    <w:rsid w:val="00BA2137"/>
    <w:rsid w:val="00BA33BA"/>
    <w:rsid w:val="00BA6ED5"/>
    <w:rsid w:val="00BB2688"/>
    <w:rsid w:val="00BB4C36"/>
    <w:rsid w:val="00BB4EE3"/>
    <w:rsid w:val="00BB67BF"/>
    <w:rsid w:val="00BB7B00"/>
    <w:rsid w:val="00BC2060"/>
    <w:rsid w:val="00BC33E5"/>
    <w:rsid w:val="00BC3620"/>
    <w:rsid w:val="00BC3762"/>
    <w:rsid w:val="00BC5EEB"/>
    <w:rsid w:val="00BC6365"/>
    <w:rsid w:val="00BC6962"/>
    <w:rsid w:val="00BC7F0C"/>
    <w:rsid w:val="00BD0440"/>
    <w:rsid w:val="00BD09AB"/>
    <w:rsid w:val="00BD2E05"/>
    <w:rsid w:val="00BD3FE5"/>
    <w:rsid w:val="00BD4F69"/>
    <w:rsid w:val="00BD64D4"/>
    <w:rsid w:val="00BD6B84"/>
    <w:rsid w:val="00BD6B8D"/>
    <w:rsid w:val="00BD6F8D"/>
    <w:rsid w:val="00BE084D"/>
    <w:rsid w:val="00BE1B75"/>
    <w:rsid w:val="00BE2AEF"/>
    <w:rsid w:val="00BE2BF2"/>
    <w:rsid w:val="00BE4ADD"/>
    <w:rsid w:val="00BE541B"/>
    <w:rsid w:val="00BE5910"/>
    <w:rsid w:val="00BE5F21"/>
    <w:rsid w:val="00BE6D3A"/>
    <w:rsid w:val="00BE7565"/>
    <w:rsid w:val="00BE7DEF"/>
    <w:rsid w:val="00BE7EF9"/>
    <w:rsid w:val="00BF03BD"/>
    <w:rsid w:val="00BF118C"/>
    <w:rsid w:val="00BF1B35"/>
    <w:rsid w:val="00BF42AB"/>
    <w:rsid w:val="00BF45B4"/>
    <w:rsid w:val="00BF4657"/>
    <w:rsid w:val="00BF4E28"/>
    <w:rsid w:val="00BF55DC"/>
    <w:rsid w:val="00BF6AD6"/>
    <w:rsid w:val="00BF748F"/>
    <w:rsid w:val="00C00335"/>
    <w:rsid w:val="00C031F0"/>
    <w:rsid w:val="00C03262"/>
    <w:rsid w:val="00C03396"/>
    <w:rsid w:val="00C05FB2"/>
    <w:rsid w:val="00C062C0"/>
    <w:rsid w:val="00C1100E"/>
    <w:rsid w:val="00C1140A"/>
    <w:rsid w:val="00C1237C"/>
    <w:rsid w:val="00C12FE9"/>
    <w:rsid w:val="00C13168"/>
    <w:rsid w:val="00C13FB8"/>
    <w:rsid w:val="00C1446F"/>
    <w:rsid w:val="00C15224"/>
    <w:rsid w:val="00C16383"/>
    <w:rsid w:val="00C170B5"/>
    <w:rsid w:val="00C172A4"/>
    <w:rsid w:val="00C175CB"/>
    <w:rsid w:val="00C20468"/>
    <w:rsid w:val="00C2133A"/>
    <w:rsid w:val="00C21554"/>
    <w:rsid w:val="00C2451E"/>
    <w:rsid w:val="00C2765A"/>
    <w:rsid w:val="00C31EC1"/>
    <w:rsid w:val="00C335FA"/>
    <w:rsid w:val="00C341C4"/>
    <w:rsid w:val="00C34833"/>
    <w:rsid w:val="00C35195"/>
    <w:rsid w:val="00C3522B"/>
    <w:rsid w:val="00C35DA4"/>
    <w:rsid w:val="00C36578"/>
    <w:rsid w:val="00C36EA4"/>
    <w:rsid w:val="00C4244E"/>
    <w:rsid w:val="00C42E67"/>
    <w:rsid w:val="00C43FE6"/>
    <w:rsid w:val="00C459ED"/>
    <w:rsid w:val="00C46BC7"/>
    <w:rsid w:val="00C477BC"/>
    <w:rsid w:val="00C4796B"/>
    <w:rsid w:val="00C50625"/>
    <w:rsid w:val="00C5250A"/>
    <w:rsid w:val="00C52C07"/>
    <w:rsid w:val="00C53CE5"/>
    <w:rsid w:val="00C54E1A"/>
    <w:rsid w:val="00C56CC4"/>
    <w:rsid w:val="00C57C15"/>
    <w:rsid w:val="00C57E93"/>
    <w:rsid w:val="00C60A1A"/>
    <w:rsid w:val="00C61EBC"/>
    <w:rsid w:val="00C6235B"/>
    <w:rsid w:val="00C62C33"/>
    <w:rsid w:val="00C64500"/>
    <w:rsid w:val="00C6680F"/>
    <w:rsid w:val="00C6695F"/>
    <w:rsid w:val="00C67518"/>
    <w:rsid w:val="00C709BB"/>
    <w:rsid w:val="00C71AAA"/>
    <w:rsid w:val="00C72C21"/>
    <w:rsid w:val="00C73B2B"/>
    <w:rsid w:val="00C74182"/>
    <w:rsid w:val="00C74C5B"/>
    <w:rsid w:val="00C77304"/>
    <w:rsid w:val="00C773AA"/>
    <w:rsid w:val="00C81DB3"/>
    <w:rsid w:val="00C83BD2"/>
    <w:rsid w:val="00C840E0"/>
    <w:rsid w:val="00C84C7E"/>
    <w:rsid w:val="00C85687"/>
    <w:rsid w:val="00C8767E"/>
    <w:rsid w:val="00C87707"/>
    <w:rsid w:val="00C87AFF"/>
    <w:rsid w:val="00C87CDE"/>
    <w:rsid w:val="00C92753"/>
    <w:rsid w:val="00C93157"/>
    <w:rsid w:val="00C94BEA"/>
    <w:rsid w:val="00C97935"/>
    <w:rsid w:val="00C97DA6"/>
    <w:rsid w:val="00CA2698"/>
    <w:rsid w:val="00CA3347"/>
    <w:rsid w:val="00CA396B"/>
    <w:rsid w:val="00CA3B33"/>
    <w:rsid w:val="00CA3E7C"/>
    <w:rsid w:val="00CA5273"/>
    <w:rsid w:val="00CA60C1"/>
    <w:rsid w:val="00CA7AFD"/>
    <w:rsid w:val="00CB228A"/>
    <w:rsid w:val="00CB2505"/>
    <w:rsid w:val="00CB2F8A"/>
    <w:rsid w:val="00CB3957"/>
    <w:rsid w:val="00CB3AFC"/>
    <w:rsid w:val="00CB4DD3"/>
    <w:rsid w:val="00CB59D6"/>
    <w:rsid w:val="00CB5A23"/>
    <w:rsid w:val="00CB5DA6"/>
    <w:rsid w:val="00CC1D36"/>
    <w:rsid w:val="00CC2A3C"/>
    <w:rsid w:val="00CC3160"/>
    <w:rsid w:val="00CC316A"/>
    <w:rsid w:val="00CC454C"/>
    <w:rsid w:val="00CC6E5A"/>
    <w:rsid w:val="00CC6E9B"/>
    <w:rsid w:val="00CD094D"/>
    <w:rsid w:val="00CD11E4"/>
    <w:rsid w:val="00CD24C4"/>
    <w:rsid w:val="00CD3848"/>
    <w:rsid w:val="00CD6AE6"/>
    <w:rsid w:val="00CE22A3"/>
    <w:rsid w:val="00CE2360"/>
    <w:rsid w:val="00CE45BB"/>
    <w:rsid w:val="00CE56D8"/>
    <w:rsid w:val="00CE6700"/>
    <w:rsid w:val="00CF1630"/>
    <w:rsid w:val="00CF1E4D"/>
    <w:rsid w:val="00CF2936"/>
    <w:rsid w:val="00CF3A10"/>
    <w:rsid w:val="00CF3F2F"/>
    <w:rsid w:val="00D00594"/>
    <w:rsid w:val="00D00BEF"/>
    <w:rsid w:val="00D02139"/>
    <w:rsid w:val="00D02F8D"/>
    <w:rsid w:val="00D03A33"/>
    <w:rsid w:val="00D10608"/>
    <w:rsid w:val="00D122D7"/>
    <w:rsid w:val="00D12A24"/>
    <w:rsid w:val="00D1321C"/>
    <w:rsid w:val="00D142D7"/>
    <w:rsid w:val="00D15FCF"/>
    <w:rsid w:val="00D16319"/>
    <w:rsid w:val="00D17845"/>
    <w:rsid w:val="00D17B34"/>
    <w:rsid w:val="00D20BD7"/>
    <w:rsid w:val="00D21470"/>
    <w:rsid w:val="00D21AA7"/>
    <w:rsid w:val="00D2211B"/>
    <w:rsid w:val="00D22F57"/>
    <w:rsid w:val="00D25CEB"/>
    <w:rsid w:val="00D27463"/>
    <w:rsid w:val="00D279A8"/>
    <w:rsid w:val="00D27B6D"/>
    <w:rsid w:val="00D30535"/>
    <w:rsid w:val="00D306A8"/>
    <w:rsid w:val="00D31A13"/>
    <w:rsid w:val="00D33081"/>
    <w:rsid w:val="00D33742"/>
    <w:rsid w:val="00D33E3E"/>
    <w:rsid w:val="00D341B1"/>
    <w:rsid w:val="00D34FD1"/>
    <w:rsid w:val="00D35774"/>
    <w:rsid w:val="00D36F8C"/>
    <w:rsid w:val="00D375E4"/>
    <w:rsid w:val="00D37925"/>
    <w:rsid w:val="00D4176D"/>
    <w:rsid w:val="00D41DD4"/>
    <w:rsid w:val="00D41E96"/>
    <w:rsid w:val="00D42C55"/>
    <w:rsid w:val="00D42FAF"/>
    <w:rsid w:val="00D44C10"/>
    <w:rsid w:val="00D44D4B"/>
    <w:rsid w:val="00D45510"/>
    <w:rsid w:val="00D4653C"/>
    <w:rsid w:val="00D46557"/>
    <w:rsid w:val="00D47DCD"/>
    <w:rsid w:val="00D51639"/>
    <w:rsid w:val="00D530CA"/>
    <w:rsid w:val="00D53D4C"/>
    <w:rsid w:val="00D5405E"/>
    <w:rsid w:val="00D545A7"/>
    <w:rsid w:val="00D554CB"/>
    <w:rsid w:val="00D559E4"/>
    <w:rsid w:val="00D571CE"/>
    <w:rsid w:val="00D64AB9"/>
    <w:rsid w:val="00D67204"/>
    <w:rsid w:val="00D6763D"/>
    <w:rsid w:val="00D70F9F"/>
    <w:rsid w:val="00D711BB"/>
    <w:rsid w:val="00D729D2"/>
    <w:rsid w:val="00D73B33"/>
    <w:rsid w:val="00D75B47"/>
    <w:rsid w:val="00D777C1"/>
    <w:rsid w:val="00D80D97"/>
    <w:rsid w:val="00D81ACA"/>
    <w:rsid w:val="00D82D7A"/>
    <w:rsid w:val="00D83458"/>
    <w:rsid w:val="00D86A39"/>
    <w:rsid w:val="00D86C1D"/>
    <w:rsid w:val="00D87667"/>
    <w:rsid w:val="00D87F35"/>
    <w:rsid w:val="00D92236"/>
    <w:rsid w:val="00D9400C"/>
    <w:rsid w:val="00D9414D"/>
    <w:rsid w:val="00D95D56"/>
    <w:rsid w:val="00D96C61"/>
    <w:rsid w:val="00DA00AD"/>
    <w:rsid w:val="00DA22A6"/>
    <w:rsid w:val="00DA2524"/>
    <w:rsid w:val="00DA2856"/>
    <w:rsid w:val="00DA2BE4"/>
    <w:rsid w:val="00DA4B1F"/>
    <w:rsid w:val="00DA61B1"/>
    <w:rsid w:val="00DA61C8"/>
    <w:rsid w:val="00DA75B6"/>
    <w:rsid w:val="00DB0406"/>
    <w:rsid w:val="00DB059C"/>
    <w:rsid w:val="00DB262A"/>
    <w:rsid w:val="00DB368E"/>
    <w:rsid w:val="00DB456F"/>
    <w:rsid w:val="00DB527A"/>
    <w:rsid w:val="00DB5C7D"/>
    <w:rsid w:val="00DB6D79"/>
    <w:rsid w:val="00DC1047"/>
    <w:rsid w:val="00DC2911"/>
    <w:rsid w:val="00DC479F"/>
    <w:rsid w:val="00DC5119"/>
    <w:rsid w:val="00DC60D3"/>
    <w:rsid w:val="00DC6A88"/>
    <w:rsid w:val="00DC6D5A"/>
    <w:rsid w:val="00DC72A0"/>
    <w:rsid w:val="00DC797D"/>
    <w:rsid w:val="00DD03A2"/>
    <w:rsid w:val="00DD0C7F"/>
    <w:rsid w:val="00DD1029"/>
    <w:rsid w:val="00DD1432"/>
    <w:rsid w:val="00DD2A8A"/>
    <w:rsid w:val="00DD3167"/>
    <w:rsid w:val="00DD3A30"/>
    <w:rsid w:val="00DD4831"/>
    <w:rsid w:val="00DD6C91"/>
    <w:rsid w:val="00DE2264"/>
    <w:rsid w:val="00DE2447"/>
    <w:rsid w:val="00DE2E8F"/>
    <w:rsid w:val="00DE5502"/>
    <w:rsid w:val="00DE6A76"/>
    <w:rsid w:val="00DE6D6F"/>
    <w:rsid w:val="00DF108A"/>
    <w:rsid w:val="00DF16FC"/>
    <w:rsid w:val="00DF258E"/>
    <w:rsid w:val="00DF37F4"/>
    <w:rsid w:val="00DF64DF"/>
    <w:rsid w:val="00DF651A"/>
    <w:rsid w:val="00DF6F31"/>
    <w:rsid w:val="00DF729F"/>
    <w:rsid w:val="00E00068"/>
    <w:rsid w:val="00E02D7F"/>
    <w:rsid w:val="00E034EB"/>
    <w:rsid w:val="00E03FFB"/>
    <w:rsid w:val="00E041E5"/>
    <w:rsid w:val="00E07AC5"/>
    <w:rsid w:val="00E10531"/>
    <w:rsid w:val="00E10C9C"/>
    <w:rsid w:val="00E11603"/>
    <w:rsid w:val="00E11886"/>
    <w:rsid w:val="00E11A1F"/>
    <w:rsid w:val="00E122EB"/>
    <w:rsid w:val="00E12B14"/>
    <w:rsid w:val="00E13F01"/>
    <w:rsid w:val="00E13FA5"/>
    <w:rsid w:val="00E15469"/>
    <w:rsid w:val="00E16284"/>
    <w:rsid w:val="00E16678"/>
    <w:rsid w:val="00E17098"/>
    <w:rsid w:val="00E170F8"/>
    <w:rsid w:val="00E17517"/>
    <w:rsid w:val="00E2034E"/>
    <w:rsid w:val="00E20675"/>
    <w:rsid w:val="00E214D8"/>
    <w:rsid w:val="00E230CC"/>
    <w:rsid w:val="00E233A3"/>
    <w:rsid w:val="00E25615"/>
    <w:rsid w:val="00E266AC"/>
    <w:rsid w:val="00E30B82"/>
    <w:rsid w:val="00E30E10"/>
    <w:rsid w:val="00E31FF2"/>
    <w:rsid w:val="00E3245F"/>
    <w:rsid w:val="00E335B0"/>
    <w:rsid w:val="00E36DAC"/>
    <w:rsid w:val="00E4015B"/>
    <w:rsid w:val="00E42186"/>
    <w:rsid w:val="00E4382E"/>
    <w:rsid w:val="00E44DC7"/>
    <w:rsid w:val="00E515E1"/>
    <w:rsid w:val="00E51B9E"/>
    <w:rsid w:val="00E52BF9"/>
    <w:rsid w:val="00E5446D"/>
    <w:rsid w:val="00E620BB"/>
    <w:rsid w:val="00E62CAA"/>
    <w:rsid w:val="00E62EA4"/>
    <w:rsid w:val="00E6399D"/>
    <w:rsid w:val="00E63E5A"/>
    <w:rsid w:val="00E64F26"/>
    <w:rsid w:val="00E71896"/>
    <w:rsid w:val="00E74CA2"/>
    <w:rsid w:val="00E76B77"/>
    <w:rsid w:val="00E772FD"/>
    <w:rsid w:val="00E80BC5"/>
    <w:rsid w:val="00E81350"/>
    <w:rsid w:val="00E81F10"/>
    <w:rsid w:val="00E82577"/>
    <w:rsid w:val="00E85B16"/>
    <w:rsid w:val="00E87604"/>
    <w:rsid w:val="00E90BB2"/>
    <w:rsid w:val="00E9217C"/>
    <w:rsid w:val="00E953F2"/>
    <w:rsid w:val="00E95B15"/>
    <w:rsid w:val="00E96D93"/>
    <w:rsid w:val="00E97623"/>
    <w:rsid w:val="00E97DB8"/>
    <w:rsid w:val="00EA12E0"/>
    <w:rsid w:val="00EA2941"/>
    <w:rsid w:val="00EA3523"/>
    <w:rsid w:val="00EA3712"/>
    <w:rsid w:val="00EA3BC1"/>
    <w:rsid w:val="00EA4AA5"/>
    <w:rsid w:val="00EB14F6"/>
    <w:rsid w:val="00EB23DB"/>
    <w:rsid w:val="00EB5954"/>
    <w:rsid w:val="00EB5AB8"/>
    <w:rsid w:val="00EB5C7E"/>
    <w:rsid w:val="00EC30B2"/>
    <w:rsid w:val="00EC6482"/>
    <w:rsid w:val="00EC6957"/>
    <w:rsid w:val="00EC7323"/>
    <w:rsid w:val="00ED0286"/>
    <w:rsid w:val="00ED290D"/>
    <w:rsid w:val="00ED4C02"/>
    <w:rsid w:val="00ED4FA9"/>
    <w:rsid w:val="00ED5360"/>
    <w:rsid w:val="00ED6577"/>
    <w:rsid w:val="00ED725E"/>
    <w:rsid w:val="00ED7EEB"/>
    <w:rsid w:val="00EE031F"/>
    <w:rsid w:val="00EE053C"/>
    <w:rsid w:val="00EE05C1"/>
    <w:rsid w:val="00EE16B9"/>
    <w:rsid w:val="00EE22A9"/>
    <w:rsid w:val="00EE30AC"/>
    <w:rsid w:val="00EE42CD"/>
    <w:rsid w:val="00EE7292"/>
    <w:rsid w:val="00EF0987"/>
    <w:rsid w:val="00EF1DD8"/>
    <w:rsid w:val="00EF2176"/>
    <w:rsid w:val="00EF3796"/>
    <w:rsid w:val="00EF3B26"/>
    <w:rsid w:val="00EF4044"/>
    <w:rsid w:val="00EF4793"/>
    <w:rsid w:val="00EF5BE2"/>
    <w:rsid w:val="00EF620E"/>
    <w:rsid w:val="00EF77D5"/>
    <w:rsid w:val="00F01E4A"/>
    <w:rsid w:val="00F028B2"/>
    <w:rsid w:val="00F02FCB"/>
    <w:rsid w:val="00F056F0"/>
    <w:rsid w:val="00F05A05"/>
    <w:rsid w:val="00F060D1"/>
    <w:rsid w:val="00F06B45"/>
    <w:rsid w:val="00F07EE3"/>
    <w:rsid w:val="00F107C2"/>
    <w:rsid w:val="00F12AC4"/>
    <w:rsid w:val="00F12B70"/>
    <w:rsid w:val="00F1384C"/>
    <w:rsid w:val="00F15B63"/>
    <w:rsid w:val="00F15F4B"/>
    <w:rsid w:val="00F207AB"/>
    <w:rsid w:val="00F21464"/>
    <w:rsid w:val="00F225FC"/>
    <w:rsid w:val="00F25A32"/>
    <w:rsid w:val="00F25B88"/>
    <w:rsid w:val="00F273F7"/>
    <w:rsid w:val="00F314C8"/>
    <w:rsid w:val="00F325A9"/>
    <w:rsid w:val="00F3418D"/>
    <w:rsid w:val="00F34BC1"/>
    <w:rsid w:val="00F35201"/>
    <w:rsid w:val="00F358B4"/>
    <w:rsid w:val="00F3649D"/>
    <w:rsid w:val="00F37364"/>
    <w:rsid w:val="00F37935"/>
    <w:rsid w:val="00F37CF9"/>
    <w:rsid w:val="00F4081D"/>
    <w:rsid w:val="00F43614"/>
    <w:rsid w:val="00F45D3B"/>
    <w:rsid w:val="00F46BFC"/>
    <w:rsid w:val="00F4724C"/>
    <w:rsid w:val="00F50B84"/>
    <w:rsid w:val="00F515BF"/>
    <w:rsid w:val="00F52CD3"/>
    <w:rsid w:val="00F530CF"/>
    <w:rsid w:val="00F538A6"/>
    <w:rsid w:val="00F541D3"/>
    <w:rsid w:val="00F55487"/>
    <w:rsid w:val="00F55FA1"/>
    <w:rsid w:val="00F56203"/>
    <w:rsid w:val="00F56FE8"/>
    <w:rsid w:val="00F57072"/>
    <w:rsid w:val="00F57664"/>
    <w:rsid w:val="00F61FE2"/>
    <w:rsid w:val="00F62522"/>
    <w:rsid w:val="00F65313"/>
    <w:rsid w:val="00F65336"/>
    <w:rsid w:val="00F65610"/>
    <w:rsid w:val="00F67088"/>
    <w:rsid w:val="00F671E3"/>
    <w:rsid w:val="00F67C8E"/>
    <w:rsid w:val="00F67D41"/>
    <w:rsid w:val="00F7050C"/>
    <w:rsid w:val="00F70A97"/>
    <w:rsid w:val="00F71E07"/>
    <w:rsid w:val="00F72102"/>
    <w:rsid w:val="00F721EA"/>
    <w:rsid w:val="00F7363C"/>
    <w:rsid w:val="00F76175"/>
    <w:rsid w:val="00F7684C"/>
    <w:rsid w:val="00F76FEA"/>
    <w:rsid w:val="00F77281"/>
    <w:rsid w:val="00F77932"/>
    <w:rsid w:val="00F8061F"/>
    <w:rsid w:val="00F823EE"/>
    <w:rsid w:val="00F82C82"/>
    <w:rsid w:val="00F8340D"/>
    <w:rsid w:val="00F85308"/>
    <w:rsid w:val="00F8602B"/>
    <w:rsid w:val="00F945E5"/>
    <w:rsid w:val="00F96A03"/>
    <w:rsid w:val="00F978AE"/>
    <w:rsid w:val="00F97AEE"/>
    <w:rsid w:val="00F97C38"/>
    <w:rsid w:val="00FA156F"/>
    <w:rsid w:val="00FA3BB3"/>
    <w:rsid w:val="00FA3CEC"/>
    <w:rsid w:val="00FA54F6"/>
    <w:rsid w:val="00FA59DE"/>
    <w:rsid w:val="00FA7903"/>
    <w:rsid w:val="00FB0AD0"/>
    <w:rsid w:val="00FB1AA0"/>
    <w:rsid w:val="00FB25BA"/>
    <w:rsid w:val="00FB3C12"/>
    <w:rsid w:val="00FB60A4"/>
    <w:rsid w:val="00FB61AD"/>
    <w:rsid w:val="00FB75E0"/>
    <w:rsid w:val="00FC0E9C"/>
    <w:rsid w:val="00FC2F39"/>
    <w:rsid w:val="00FC3016"/>
    <w:rsid w:val="00FC3C03"/>
    <w:rsid w:val="00FC420D"/>
    <w:rsid w:val="00FC5C09"/>
    <w:rsid w:val="00FC61A2"/>
    <w:rsid w:val="00FC650B"/>
    <w:rsid w:val="00FD1C7D"/>
    <w:rsid w:val="00FD2CD0"/>
    <w:rsid w:val="00FD320B"/>
    <w:rsid w:val="00FD4B3E"/>
    <w:rsid w:val="00FD6270"/>
    <w:rsid w:val="00FD7880"/>
    <w:rsid w:val="00FD7DCB"/>
    <w:rsid w:val="00FE1D8A"/>
    <w:rsid w:val="00FE1FFE"/>
    <w:rsid w:val="00FE37E4"/>
    <w:rsid w:val="00FE42B7"/>
    <w:rsid w:val="00FE6210"/>
    <w:rsid w:val="00FE6B33"/>
    <w:rsid w:val="00FF24A9"/>
    <w:rsid w:val="00FF2889"/>
    <w:rsid w:val="00FF37F7"/>
    <w:rsid w:val="00FF4528"/>
    <w:rsid w:val="00FF7297"/>
    <w:rsid w:val="00FF79BC"/>
    <w:rsid w:val="00FF7C29"/>
    <w:rsid w:val="00FF7D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4A348"/>
  <w15:chartTrackingRefBased/>
  <w15:docId w15:val="{6C362F1E-2163-415A-90ED-418BBA3B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93"/>
    <w:pPr>
      <w:spacing w:after="200" w:line="276" w:lineRule="auto"/>
    </w:pPr>
    <w:rPr>
      <w:szCs w:val="22"/>
      <w:lang w:val="en-US" w:eastAsia="en-US"/>
    </w:rPr>
  </w:style>
  <w:style w:type="paragraph" w:styleId="Heading1">
    <w:name w:val="heading 1"/>
    <w:next w:val="Normal"/>
    <w:link w:val="Heading1Char"/>
    <w:uiPriority w:val="9"/>
    <w:unhideWhenUsed/>
    <w:qFormat/>
    <w:rsid w:val="00BE5F21"/>
    <w:pPr>
      <w:keepNext/>
      <w:keepLines/>
      <w:spacing w:after="13" w:line="259" w:lineRule="auto"/>
      <w:ind w:left="10" w:hanging="10"/>
      <w:outlineLvl w:val="0"/>
    </w:pPr>
    <w:rPr>
      <w:rFonts w:eastAsia="Times New Roman"/>
      <w:b/>
      <w:color w:val="000000"/>
      <w:sz w:val="22"/>
      <w:szCs w:val="22"/>
      <w:lang w:val="en-US" w:eastAsia="en-US"/>
    </w:rPr>
  </w:style>
  <w:style w:type="paragraph" w:styleId="Heading2">
    <w:name w:val="heading 2"/>
    <w:basedOn w:val="Normal"/>
    <w:next w:val="Normal"/>
    <w:link w:val="Heading2Char"/>
    <w:uiPriority w:val="9"/>
    <w:semiHidden/>
    <w:unhideWhenUsed/>
    <w:qFormat/>
    <w:rsid w:val="00071CB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4157E"/>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E214D8"/>
    <w:rPr>
      <w:b/>
      <w:bCs/>
      <w:smallCaps/>
      <w:spacing w:val="5"/>
    </w:rPr>
  </w:style>
  <w:style w:type="character" w:styleId="Hyperlink">
    <w:name w:val="Hyperlink"/>
    <w:uiPriority w:val="99"/>
    <w:unhideWhenUsed/>
    <w:rsid w:val="001A49CE"/>
    <w:rPr>
      <w:color w:val="0000FF"/>
      <w:u w:val="single"/>
    </w:rPr>
  </w:style>
  <w:style w:type="character" w:styleId="LineNumber">
    <w:name w:val="line number"/>
    <w:basedOn w:val="DefaultParagraphFont"/>
    <w:uiPriority w:val="99"/>
    <w:semiHidden/>
    <w:unhideWhenUsed/>
    <w:rsid w:val="000B0E56"/>
  </w:style>
  <w:style w:type="paragraph" w:customStyle="1" w:styleId="Default">
    <w:name w:val="Default"/>
    <w:rsid w:val="005E6C0F"/>
    <w:pPr>
      <w:autoSpaceDE w:val="0"/>
      <w:autoSpaceDN w:val="0"/>
      <w:adjustRightInd w:val="0"/>
    </w:pPr>
    <w:rPr>
      <w:color w:val="000000"/>
      <w:sz w:val="24"/>
      <w:szCs w:val="24"/>
      <w:lang w:val="en-US" w:eastAsia="en-US"/>
    </w:rPr>
  </w:style>
  <w:style w:type="paragraph" w:styleId="BodyText">
    <w:name w:val="Body Text"/>
    <w:basedOn w:val="Normal"/>
    <w:link w:val="BodyTextChar"/>
    <w:rsid w:val="00CB228A"/>
    <w:pPr>
      <w:spacing w:after="0" w:line="240" w:lineRule="auto"/>
      <w:jc w:val="both"/>
    </w:pPr>
    <w:rPr>
      <w:rFonts w:eastAsia="Times New Roman"/>
      <w:sz w:val="24"/>
      <w:szCs w:val="24"/>
      <w:lang w:val="x-none" w:eastAsia="x-none"/>
    </w:rPr>
  </w:style>
  <w:style w:type="character" w:customStyle="1" w:styleId="BodyTextChar">
    <w:name w:val="Body Text Char"/>
    <w:link w:val="BodyText"/>
    <w:rsid w:val="00CB228A"/>
    <w:rPr>
      <w:rFonts w:eastAsia="Times New Roman"/>
      <w:sz w:val="24"/>
      <w:szCs w:val="24"/>
    </w:rPr>
  </w:style>
  <w:style w:type="paragraph" w:styleId="ListParagraph">
    <w:name w:val="List Paragraph"/>
    <w:aliases w:val="skripsi,spasi 2 taiiii,List Paragraph1,Sub BAB,Body of text,Heading 10,Body Text Char1,Char Char2,awal,List Paragraph2,HEADING 1"/>
    <w:basedOn w:val="Normal"/>
    <w:link w:val="ListParagraphChar"/>
    <w:uiPriority w:val="34"/>
    <w:qFormat/>
    <w:rsid w:val="004D0127"/>
    <w:pPr>
      <w:ind w:left="720"/>
    </w:pPr>
    <w:rPr>
      <w:lang w:val="x-none" w:eastAsia="x-none"/>
    </w:rPr>
  </w:style>
  <w:style w:type="table" w:styleId="TableGrid">
    <w:name w:val="Table Grid"/>
    <w:basedOn w:val="TableNormal"/>
    <w:uiPriority w:val="39"/>
    <w:unhideWhenUsed/>
    <w:rsid w:val="0024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24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95EB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F1AE9"/>
    <w:pPr>
      <w:tabs>
        <w:tab w:val="center" w:pos="4680"/>
        <w:tab w:val="right" w:pos="9360"/>
      </w:tabs>
    </w:pPr>
    <w:rPr>
      <w:lang w:val="x-none" w:eastAsia="x-none"/>
    </w:rPr>
  </w:style>
  <w:style w:type="character" w:customStyle="1" w:styleId="HeaderChar">
    <w:name w:val="Header Char"/>
    <w:link w:val="Header"/>
    <w:uiPriority w:val="99"/>
    <w:rsid w:val="005F1AE9"/>
    <w:rPr>
      <w:rFonts w:ascii="Calibri" w:hAnsi="Calibri"/>
      <w:sz w:val="22"/>
      <w:szCs w:val="22"/>
    </w:rPr>
  </w:style>
  <w:style w:type="paragraph" w:styleId="Footer">
    <w:name w:val="footer"/>
    <w:basedOn w:val="Normal"/>
    <w:link w:val="FooterChar"/>
    <w:uiPriority w:val="99"/>
    <w:unhideWhenUsed/>
    <w:rsid w:val="005F1AE9"/>
    <w:pPr>
      <w:tabs>
        <w:tab w:val="center" w:pos="4680"/>
        <w:tab w:val="right" w:pos="9360"/>
      </w:tabs>
    </w:pPr>
    <w:rPr>
      <w:lang w:val="x-none" w:eastAsia="x-none"/>
    </w:rPr>
  </w:style>
  <w:style w:type="character" w:customStyle="1" w:styleId="FooterChar">
    <w:name w:val="Footer Char"/>
    <w:link w:val="Footer"/>
    <w:uiPriority w:val="99"/>
    <w:rsid w:val="005F1AE9"/>
    <w:rPr>
      <w:rFonts w:ascii="Calibri" w:hAnsi="Calibri"/>
      <w:sz w:val="22"/>
      <w:szCs w:val="22"/>
    </w:rPr>
  </w:style>
  <w:style w:type="paragraph" w:styleId="BalloonText">
    <w:name w:val="Balloon Text"/>
    <w:basedOn w:val="Normal"/>
    <w:link w:val="BalloonTextChar"/>
    <w:uiPriority w:val="99"/>
    <w:semiHidden/>
    <w:unhideWhenUsed/>
    <w:rsid w:val="008532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532DF"/>
    <w:rPr>
      <w:rFonts w:ascii="Tahoma" w:hAnsi="Tahoma" w:cs="Tahoma"/>
      <w:sz w:val="16"/>
      <w:szCs w:val="16"/>
    </w:rPr>
  </w:style>
  <w:style w:type="table" w:customStyle="1" w:styleId="TableGrid3">
    <w:name w:val="Table Grid3"/>
    <w:basedOn w:val="TableNormal"/>
    <w:next w:val="TableGrid"/>
    <w:uiPriority w:val="59"/>
    <w:rsid w:val="009346CD"/>
    <w:pPr>
      <w:ind w:left="720" w:hanging="720"/>
      <w:jc w:val="both"/>
    </w:pPr>
    <w:rPr>
      <w:rFonts w:ascii="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2DB"/>
    <w:pPr>
      <w:ind w:left="720" w:hanging="720"/>
      <w:jc w:val="both"/>
    </w:pPr>
    <w:rPr>
      <w:rFonts w:ascii="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06164"/>
    <w:rPr>
      <w:rFonts w:ascii="Calibri" w:hAnsi="Calibri"/>
      <w:sz w:val="22"/>
      <w:szCs w:val="22"/>
      <w:lang w:val="en-US" w:eastAsia="en-US"/>
    </w:rPr>
  </w:style>
  <w:style w:type="paragraph" w:customStyle="1" w:styleId="ColorfulList-Accent11">
    <w:name w:val="Colorful List - Accent 11"/>
    <w:basedOn w:val="Normal"/>
    <w:uiPriority w:val="34"/>
    <w:qFormat/>
    <w:rsid w:val="00632A68"/>
    <w:pPr>
      <w:ind w:left="720"/>
      <w:contextualSpacing/>
    </w:pPr>
    <w:rPr>
      <w:lang w:val="id-ID"/>
    </w:rPr>
  </w:style>
  <w:style w:type="character" w:customStyle="1" w:styleId="ListParagraphChar">
    <w:name w:val="List Paragraph Char"/>
    <w:aliases w:val="skripsi Char,spasi 2 taiiii Char,List Paragraph1 Char,Sub BAB Char,Body of text Char,Heading 10 Char,Body Text Char1 Char,Char Char2 Char,awal Char,List Paragraph2 Char,HEADING 1 Char"/>
    <w:link w:val="ListParagraph"/>
    <w:uiPriority w:val="34"/>
    <w:qFormat/>
    <w:rsid w:val="00854CC1"/>
    <w:rPr>
      <w:rFonts w:ascii="Calibri" w:hAnsi="Calibri"/>
      <w:sz w:val="22"/>
      <w:szCs w:val="22"/>
    </w:rPr>
  </w:style>
  <w:style w:type="table" w:customStyle="1" w:styleId="TableGrid5">
    <w:name w:val="Table Grid5"/>
    <w:basedOn w:val="TableNormal"/>
    <w:next w:val="TableGrid"/>
    <w:uiPriority w:val="59"/>
    <w:rsid w:val="00C172A4"/>
    <w:rPr>
      <w:rFonts w:ascii="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F7D2B"/>
    <w:rPr>
      <w:b/>
      <w:bCs/>
      <w:szCs w:val="20"/>
    </w:rPr>
  </w:style>
  <w:style w:type="character" w:customStyle="1" w:styleId="Heading1Char">
    <w:name w:val="Heading 1 Char"/>
    <w:link w:val="Heading1"/>
    <w:uiPriority w:val="9"/>
    <w:rsid w:val="00BE5F21"/>
    <w:rPr>
      <w:rFonts w:eastAsia="Times New Roman"/>
      <w:b/>
      <w:color w:val="000000"/>
      <w:sz w:val="22"/>
      <w:szCs w:val="22"/>
    </w:rPr>
  </w:style>
  <w:style w:type="table" w:customStyle="1" w:styleId="TableGrid0">
    <w:name w:val="TableGrid"/>
    <w:rsid w:val="00AB341E"/>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PlainTable41">
    <w:name w:val="Plain Table 41"/>
    <w:basedOn w:val="TableNormal"/>
    <w:uiPriority w:val="44"/>
    <w:rsid w:val="00CE56D8"/>
    <w:rPr>
      <w:rFonts w:ascii="Calibri" w:eastAsia="Times New Roman"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0369B8"/>
    <w:rPr>
      <w:rFonts w:ascii="Calibri" w:eastAsia="Times New Roman"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next w:val="TableGrid"/>
    <w:uiPriority w:val="39"/>
    <w:qFormat/>
    <w:rsid w:val="00EE22A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24157E"/>
    <w:rPr>
      <w:rFonts w:ascii="Calibri Light" w:eastAsia="Times New Roman" w:hAnsi="Calibri Light" w:cs="Times New Roman"/>
      <w:b/>
      <w:bCs/>
      <w:sz w:val="26"/>
      <w:szCs w:val="26"/>
    </w:rPr>
  </w:style>
  <w:style w:type="character" w:customStyle="1" w:styleId="Heading2Char">
    <w:name w:val="Heading 2 Char"/>
    <w:link w:val="Heading2"/>
    <w:uiPriority w:val="9"/>
    <w:semiHidden/>
    <w:rsid w:val="00071CBC"/>
    <w:rPr>
      <w:rFonts w:ascii="Calibri Light" w:eastAsia="Times New Roman" w:hAnsi="Calibri Light" w:cs="Times New Roman"/>
      <w:b/>
      <w:bCs/>
      <w:i/>
      <w:iCs/>
      <w:sz w:val="28"/>
      <w:szCs w:val="28"/>
    </w:rPr>
  </w:style>
  <w:style w:type="character" w:styleId="PlaceholderText">
    <w:name w:val="Placeholder Text"/>
    <w:basedOn w:val="DefaultParagraphFont"/>
    <w:uiPriority w:val="99"/>
    <w:semiHidden/>
    <w:rsid w:val="0070214C"/>
    <w:rPr>
      <w:color w:val="808080"/>
    </w:rPr>
  </w:style>
  <w:style w:type="character" w:customStyle="1" w:styleId="TidakAda">
    <w:name w:val="Tidak Ada"/>
    <w:rsid w:val="00830B18"/>
  </w:style>
  <w:style w:type="paragraph" w:customStyle="1" w:styleId="Badan">
    <w:name w:val="Badan"/>
    <w:rsid w:val="00576E4C"/>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table" w:styleId="TableGridLight">
    <w:name w:val="Grid Table Light"/>
    <w:basedOn w:val="TableNormal"/>
    <w:uiPriority w:val="40"/>
    <w:rsid w:val="00600E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rnomor">
    <w:name w:val="Bernomor"/>
    <w:rsid w:val="00FD2CD0"/>
    <w:pPr>
      <w:numPr>
        <w:numId w:val="8"/>
      </w:numPr>
    </w:pPr>
  </w:style>
  <w:style w:type="paragraph" w:customStyle="1" w:styleId="TableParagraph">
    <w:name w:val="Table Paragraph"/>
    <w:basedOn w:val="Normal"/>
    <w:uiPriority w:val="1"/>
    <w:qFormat/>
    <w:rsid w:val="00983789"/>
    <w:pPr>
      <w:widowControl w:val="0"/>
      <w:autoSpaceDE w:val="0"/>
      <w:autoSpaceDN w:val="0"/>
      <w:spacing w:after="0" w:line="226" w:lineRule="exact"/>
      <w:ind w:left="124"/>
      <w:jc w:val="center"/>
    </w:pPr>
    <w:rPr>
      <w:rFonts w:ascii="Cambria" w:eastAsia="Cambria" w:hAnsi="Cambria"/>
      <w:lang w:val="id-ID"/>
    </w:rPr>
  </w:style>
  <w:style w:type="character" w:styleId="UnresolvedMention">
    <w:name w:val="Unresolved Mention"/>
    <w:basedOn w:val="DefaultParagraphFont"/>
    <w:uiPriority w:val="99"/>
    <w:semiHidden/>
    <w:unhideWhenUsed/>
    <w:rsid w:val="007D3531"/>
    <w:rPr>
      <w:color w:val="808080"/>
      <w:shd w:val="clear" w:color="auto" w:fill="E6E6E6"/>
    </w:rPr>
  </w:style>
  <w:style w:type="character" w:styleId="FootnoteReference">
    <w:name w:val="footnote reference"/>
    <w:uiPriority w:val="99"/>
    <w:semiHidden/>
    <w:unhideWhenUsed/>
    <w:rsid w:val="004E72C0"/>
    <w:rPr>
      <w:vertAlign w:val="superscript"/>
    </w:rPr>
  </w:style>
  <w:style w:type="character" w:customStyle="1" w:styleId="apple-converted-space">
    <w:name w:val="apple-converted-space"/>
    <w:basedOn w:val="DefaultParagraphFont"/>
    <w:rsid w:val="009A6DAE"/>
  </w:style>
  <w:style w:type="paragraph" w:styleId="FootnoteText">
    <w:name w:val="footnote text"/>
    <w:basedOn w:val="Normal"/>
    <w:link w:val="FootnoteTextChar"/>
    <w:semiHidden/>
    <w:rsid w:val="003F3F8E"/>
    <w:pPr>
      <w:spacing w:after="0" w:line="240" w:lineRule="auto"/>
    </w:pPr>
    <w:rPr>
      <w:rFonts w:eastAsia="Times New Roman"/>
      <w:szCs w:val="20"/>
    </w:rPr>
  </w:style>
  <w:style w:type="character" w:customStyle="1" w:styleId="FootnoteTextChar">
    <w:name w:val="Footnote Text Char"/>
    <w:basedOn w:val="DefaultParagraphFont"/>
    <w:link w:val="FootnoteText"/>
    <w:semiHidden/>
    <w:rsid w:val="003F3F8E"/>
    <w:rPr>
      <w:rFonts w:eastAsia="Times New Roman"/>
      <w:lang w:val="en-US" w:eastAsia="en-US"/>
    </w:rPr>
  </w:style>
  <w:style w:type="character" w:customStyle="1" w:styleId="NoSpacingChar">
    <w:name w:val="No Spacing Char"/>
    <w:basedOn w:val="DefaultParagraphFont"/>
    <w:link w:val="NoSpacing"/>
    <w:uiPriority w:val="1"/>
    <w:locked/>
    <w:rsid w:val="00D6763D"/>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ipratama@eco.uir.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lvipratiwimail@gmail.com" TargetMode="External"/><Relationship Id="rId17" Type="http://schemas.openxmlformats.org/officeDocument/2006/relationships/hyperlink" Target="https://journal.uir.ac.id/index.php/kiat" TargetMode="External"/><Relationship Id="rId2" Type="http://schemas.openxmlformats.org/officeDocument/2006/relationships/numbering" Target="numbering.xml"/><Relationship Id="rId16" Type="http://schemas.openxmlformats.org/officeDocument/2006/relationships/hyperlink" Target="https://journal.uir.ac.id/index.php/ki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lhelmy@eco.uir.ac.id" TargetMode="External"/><Relationship Id="rId5" Type="http://schemas.openxmlformats.org/officeDocument/2006/relationships/webSettings" Target="webSettings.xml"/><Relationship Id="rId15" Type="http://schemas.openxmlformats.org/officeDocument/2006/relationships/hyperlink" Target="mailto:silvipratiwimail@gmail.com" TargetMode="External"/><Relationship Id="rId10" Type="http://schemas.openxmlformats.org/officeDocument/2006/relationships/hyperlink" Target="mailto:danipratama@eco.uir.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ulhelmy@eco.u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F8438A-8D5B-472F-B93D-B5AFB2C1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8659</Words>
  <Characters>49359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57903</CharactersWithSpaces>
  <SharedDoc>false</SharedDoc>
  <HLinks>
    <vt:vector size="12" baseType="variant">
      <vt:variant>
        <vt:i4>3604482</vt:i4>
      </vt:variant>
      <vt:variant>
        <vt:i4>3</vt:i4>
      </vt:variant>
      <vt:variant>
        <vt:i4>0</vt:i4>
      </vt:variant>
      <vt:variant>
        <vt:i4>5</vt:i4>
      </vt:variant>
      <vt:variant>
        <vt:lpwstr>mailto:kiat@journal.uir.ac.id</vt:lpwstr>
      </vt:variant>
      <vt:variant>
        <vt:lpwstr/>
      </vt:variant>
      <vt:variant>
        <vt:i4>5308434</vt:i4>
      </vt:variant>
      <vt:variant>
        <vt:i4>0</vt:i4>
      </vt:variant>
      <vt:variant>
        <vt:i4>0</vt:i4>
      </vt:variant>
      <vt:variant>
        <vt:i4>5</vt:i4>
      </vt:variant>
      <vt:variant>
        <vt:lpwstr>http://www.jurnalkiatuir.com/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Wardatul Ahkmam</dc:creator>
  <cp:keywords/>
  <cp:lastModifiedBy>UIR HP</cp:lastModifiedBy>
  <cp:revision>2</cp:revision>
  <cp:lastPrinted>2019-08-08T01:34:00Z</cp:lastPrinted>
  <dcterms:created xsi:type="dcterms:W3CDTF">2022-12-28T08:44:00Z</dcterms:created>
  <dcterms:modified xsi:type="dcterms:W3CDTF">2022-12-28T08:44:00Z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79b1f550-0466-3d52-97a0-958c7de24e18</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